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RESOLUCIÓN 005 del 2025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(De fecha de 11 de noviembre de 2025)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“POR LA CUAL SE ADOPTAN LAS GUÍAS DE PRÁCTICA CLÍNICA DEL MINISTERIO DE SALUD Y PROTECCIÓN SOCIAL PARA LOS SERVICIOS DE ENDOCRINOLOGÍA, MEDICINA FÍSICA Y DEL DEPORTE Y NUTRICIÓN”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 gerente CARLOS JAVIER VIZCAÍNO de la IPS ENDOCRINOLOGY &amp; HEALTH S.A.S, en uso de sus atribuciones constitucionales, legales y estatutarias,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line="240" w:lineRule="auto"/>
        <w:jc w:val="center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eading=h.y8rvex43scth" w:id="0"/>
      <w:bookmarkEnd w:id="0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CONSIDERANDO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Que el Gobierno Nacional, a través del Decreto 780 de 2016, compiló las normas del sector salud y definió el Sistema Obligatorio de Garantía de la Calidad de la Atención en Salud (SOGCS), aplicable a todos los prestadores de servicios de salud.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Que la Resolución 3100 de 2019 establece las condiciones de habilitación que deben cumplir las instituciones prestadoras de servicios de salud y promueve la implementación del componente de auditoría para el mejoramiento de la calidad.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Que el Ministerio de Salud y Protección Social ha publicado y actualizado diversas Guías de Práctica Clínica (GPC) basadas en la evidencia científica, con el propósito de orientar la atención de las principales patologías endocrino-metabólicas y del sistema musculoesquelético, que son objeto de atención en esta institución.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line="240" w:lineRule="auto"/>
        <w:jc w:val="center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heading=h.lnhevz6t6aie" w:id="1"/>
      <w:bookmarkEnd w:id="1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RESUELVE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line="240" w:lineRule="auto"/>
        <w:jc w:val="both"/>
        <w:rPr>
          <w:rFonts w:ascii="Century Gothic" w:cs="Century Gothic" w:eastAsia="Century Gothic" w:hAnsi="Century Gothic"/>
          <w:b w:val="0"/>
          <w:bCs w:val="0"/>
          <w:sz w:val="22"/>
          <w:szCs w:val="22"/>
        </w:rPr>
      </w:pPr>
      <w:bookmarkStart w:colFirst="0" w:colLast="0" w:name="_heading=h.e705k3aw3ehr" w:id="2"/>
      <w:bookmarkEnd w:id="2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ARTÍCULO PRIMERO.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 Adopción de guías por especialidad.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 cumplimiento de los requisitos esenciales del Sistema Obligatorio de Garantía de la Calidad, la IPS ENDOCRINOLOGY &amp; HEALTH S.A.S adopta las siguientes Guías de Práctica Clínica del Ministerio de Salud y Protección Social, de acuerdo con el ámbito de atención de cada especialidad: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1. Especialidad de Endocrinología: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Guía de práctica clínica manejo de Diabetes Mellitus Tipo 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Guia de Manual de Patología tiroidea - Hipotiroidismo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Guia de Manual de Patología tiroidea - Hipertiroidismo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Guia para la estadificación y tratamiento del Cáncer de Tiroides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Guia para la prevención, diagnóstico y tratamiento del sobrepeso y obesidad.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Especialidad de Medicina Física y del Deporte: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Guia para la prevención, diagnóstico y tratamiento del sobrepeso y obesidad.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Guia de SECOT-SEGG de Osteoporosis y fractura por fragilidad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Guia para manejo de Sarcopenia, la fragilidad, la malnutrición y la osteoporosis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Guía de práctica clínica manejo de Diabetes Mellitus Tipo 2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Especialidad de Nutrición: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Guia para la prevención, diagnóstico y tratamiento del sobrepeso y obesidad.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Guía de práctica clínica manejo de Diabetes Mellitus Tipo 2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Guia de Manual de Patología tiroidea - Hipotiroidismo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Guía de práctica clínica para la prevención, detección temprana, diagnóstico y seguimiento de las dislipidemias.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54" w:lineRule="auto"/>
        <w:ind w:right="49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ARTÍCULO SEGUNDO: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Las guías adoptadas deberán ser socializadas y conocidas por el personal asistencial y administrativo responsable de su aplicación con posterior medición de adherencia, incluyendo el personal en entrenamiento.</w:t>
      </w:r>
    </w:p>
    <w:p w:rsidR="00000000" w:rsidDel="00000000" w:rsidP="00000000" w:rsidRDefault="00000000" w:rsidRPr="00000000" w14:paraId="0000001E">
      <w:pPr>
        <w:widowControl w:val="0"/>
        <w:spacing w:after="0" w:before="6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9" w:lineRule="auto"/>
        <w:ind w:right="49" w:firstLine="6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ARTÍCULO TERCERO. - Revisión y Actualización.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Las revisiones y actualizaciones de las Guías de Práctica Clínica serán incorporadas de manera anual según el perfil de morbilidad-epidemiológico en la prestación de los servicios.</w:t>
      </w:r>
    </w:p>
    <w:p w:rsidR="00000000" w:rsidDel="00000000" w:rsidP="00000000" w:rsidRDefault="00000000" w:rsidRPr="00000000" w14:paraId="00000020">
      <w:pPr>
        <w:widowControl w:val="0"/>
        <w:spacing w:after="0" w:before="6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ARTÍCULO CUARTO. - Vigencia.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 presente rige a partir de la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COMUNIQUESE Y CUMPLASE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Dada Ibagué, a los 11 días del mes de noviembre de 2025.</w:t>
      </w:r>
    </w:p>
    <w:p w:rsidR="00000000" w:rsidDel="00000000" w:rsidP="00000000" w:rsidRDefault="00000000" w:rsidRPr="00000000" w14:paraId="0000002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2039303</wp:posOffset>
            </wp:positionH>
            <wp:positionV relativeFrom="paragraph">
              <wp:posOffset>124327</wp:posOffset>
            </wp:positionV>
            <wp:extent cx="1534478" cy="658667"/>
            <wp:effectExtent b="0" l="0" r="0" t="0"/>
            <wp:wrapNone/>
            <wp:docPr id="2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4478" cy="658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Carlos Javier Vizcaino Guerrero</w:t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Century Gothic" w:cs="Century Gothic" w:eastAsia="Century Gothic" w:hAnsi="Century Gothic"/>
          <w:color w:val="2f5496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Gerente - Representante Legal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248.8976377952763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widowControl w:val="0"/>
      <w:spacing w:after="0" w:lineRule="auto"/>
      <w:rPr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114300</wp:posOffset>
          </wp:positionV>
          <wp:extent cx="1466850" cy="482600"/>
          <wp:effectExtent b="0" l="0" r="0" t="0"/>
          <wp:wrapNone/>
          <wp:docPr id="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482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005.0" w:type="dxa"/>
      <w:jc w:val="left"/>
      <w:tblInd w:w="-51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35"/>
      <w:gridCol w:w="5190"/>
      <w:gridCol w:w="2280"/>
      <w:tblGridChange w:id="0">
        <w:tblGrid>
          <w:gridCol w:w="2535"/>
          <w:gridCol w:w="5190"/>
          <w:gridCol w:w="2280"/>
        </w:tblGrid>
      </w:tblGridChange>
    </w:tblGrid>
    <w:tr>
      <w:trPr>
        <w:cantSplit w:val="0"/>
        <w:trHeight w:val="1119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A">
          <w:pPr>
            <w:tabs>
              <w:tab w:val="right" w:leader="none" w:pos="9003"/>
            </w:tabs>
            <w:spacing w:after="0" w:line="240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B">
          <w:pPr>
            <w:spacing w:after="0" w:line="240" w:lineRule="auto"/>
            <w:jc w:val="center"/>
            <w:rPr>
              <w:rFonts w:ascii="Century Gothic" w:cs="Century Gothic" w:eastAsia="Century Gothic" w:hAnsi="Century Gothic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RESOLUCIÓN DE ADOPCIÓN DE GUÍAS DE PRÁCTICA CLÍNICA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C">
          <w:pPr>
            <w:spacing w:after="0" w:line="240" w:lineRule="auto"/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PP-RS-005</w:t>
          </w:r>
        </w:p>
        <w:p w:rsidR="00000000" w:rsidDel="00000000" w:rsidP="00000000" w:rsidRDefault="00000000" w:rsidRPr="00000000" w14:paraId="0000002D">
          <w:pPr>
            <w:spacing w:after="0" w:line="240" w:lineRule="auto"/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Versión: 4</w:t>
          </w:r>
        </w:p>
        <w:p w:rsidR="00000000" w:rsidDel="00000000" w:rsidP="00000000" w:rsidRDefault="00000000" w:rsidRPr="00000000" w14:paraId="0000002E">
          <w:pPr>
            <w:spacing w:after="0" w:line="240" w:lineRule="auto"/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Emisión: nov 2025</w:t>
          </w:r>
        </w:p>
      </w:tc>
    </w:tr>
  </w:tbl>
  <w:p w:rsidR="00000000" w:rsidDel="00000000" w:rsidP="00000000" w:rsidRDefault="00000000" w:rsidRPr="00000000" w14:paraId="0000002F">
    <w:pPr>
      <w:tabs>
        <w:tab w:val="center" w:leader="none" w:pos="4419"/>
        <w:tab w:val="right" w:leader="none" w:pos="8838"/>
      </w:tabs>
      <w:spacing w:after="0"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E1C2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E1C2E"/>
  </w:style>
  <w:style w:type="paragraph" w:styleId="Piedepgina">
    <w:name w:val="footer"/>
    <w:basedOn w:val="Normal"/>
    <w:link w:val="PiedepginaCar"/>
    <w:uiPriority w:val="99"/>
    <w:unhideWhenUsed w:val="1"/>
    <w:rsid w:val="009E1C2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E1C2E"/>
  </w:style>
  <w:style w:type="paragraph" w:styleId="Normal1" w:customStyle="1">
    <w:name w:val="Normal1"/>
    <w:rsid w:val="009E1C2E"/>
    <w:pP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  <w:lang w:eastAsia="es-ES" w:val="en-US"/>
    </w:rPr>
  </w:style>
  <w:style w:type="character" w:styleId="Ttulo1Car" w:customStyle="1">
    <w:name w:val="Título 1 Car"/>
    <w:basedOn w:val="Fuentedeprrafopredeter"/>
    <w:link w:val="Ttulo1"/>
    <w:uiPriority w:val="9"/>
    <w:rsid w:val="0025344D"/>
    <w:rPr>
      <w:rFonts w:ascii="Times New Roman" w:hAnsi="Times New Roman" w:cstheme="majorBidi" w:eastAsiaTheme="majorEastAsia"/>
      <w:b w:val="1"/>
      <w:sz w:val="24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924CBE"/>
    <w:rPr>
      <w:rFonts w:ascii="Times New Roman" w:hAnsi="Times New Roman" w:cstheme="majorBidi" w:eastAsiaTheme="majorEastAsia"/>
      <w:b w:val="1"/>
      <w:sz w:val="24"/>
      <w:szCs w:val="26"/>
    </w:rPr>
  </w:style>
  <w:style w:type="paragraph" w:styleId="Prrafodelista">
    <w:name w:val="List Paragraph"/>
    <w:basedOn w:val="Normal"/>
    <w:uiPriority w:val="34"/>
    <w:qFormat w:val="1"/>
    <w:rsid w:val="009E1C2E"/>
    <w:pPr>
      <w:ind w:left="720"/>
      <w:contextualSpacing w:val="1"/>
    </w:pPr>
  </w:style>
  <w:style w:type="paragraph" w:styleId="Sinespaciado">
    <w:name w:val="No Spacing"/>
    <w:uiPriority w:val="1"/>
    <w:qFormat w:val="1"/>
    <w:rsid w:val="00347868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C56C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2" w:customStyle="1">
    <w:name w:val="A2"/>
    <w:uiPriority w:val="99"/>
    <w:rsid w:val="00567942"/>
    <w:rPr>
      <w:rFonts w:cs="Cambria"/>
      <w:color w:val="000000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E16839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0000BF"/>
      <w:sz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E16839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E1683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E16839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5jrqrdSj8uoJYUlbP4QaqXnDGw==">CgMxLjAyDmgueThydmV4NDNzY3RoMg5oLmxuaGV2ejZ0NmFpZTIOaC5lNzA1azNhdzNlaHI4AHIhMS1ad0FaXzliV2VrRjMzVm1rU3liaS1hSHZGZHJPanlI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2019-10-15T19:46:00Z</dcterms:created>
  <dc:creator>Sony Vaio</dc:creator>
</cp:coreProperties>
</file>