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284" w:right="-91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RESOLUCIÓN N° 003 DE (2025)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(ENERO DE 2025)</w:t>
      </w:r>
    </w:p>
    <w:p w:rsidR="00000000" w:rsidDel="00000000" w:rsidP="00000000" w:rsidRDefault="00000000" w:rsidRPr="00000000" w14:paraId="00000004">
      <w:pPr>
        <w:spacing w:line="276" w:lineRule="auto"/>
        <w:ind w:left="-284" w:right="-91" w:firstLine="0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284" w:right="-91" w:firstLine="0"/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-284" w:right="-91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medio del cual se crea el COMITÉ DE INFECCIONES de la IPS Endocrinology Health.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-284" w:right="-9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-284" w:right="-9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gerente, en uso de sus atribuciones, como representante legal:</w:t>
      </w:r>
    </w:p>
    <w:p w:rsidR="00000000" w:rsidDel="00000000" w:rsidP="00000000" w:rsidRDefault="00000000" w:rsidRPr="00000000" w14:paraId="00000009">
      <w:pPr>
        <w:spacing w:line="276" w:lineRule="auto"/>
        <w:ind w:left="-284" w:right="-91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284" w:right="-91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-284" w:right="-91" w:firstLine="0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CONSIDERANDO: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left="-284" w:right="-91" w:firstLine="0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Que, en el año 2007, Colombia firmó la declaración de apoyo al primer reto de la alianza mundial por la seguridad del paciente, y se comprometió a trabajar en la estrategia de higiene de manos por parte de los trabajadores de la salud, bajo el lema "Una atención limpia es una atención segura". </w:t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Que, el artículo 5, literal c), de la Ley 1751 de 2015, Ley Estatutaria de Salud, señala que el Estado deberá "Formular y adoptar políticas que propendan por la promoción de la salud, prevención y atención de la enfermedad y rehabilitación de sus secuelas, mediante acciones colectivas e individuales". </w:t>
      </w:r>
    </w:p>
    <w:p w:rsidR="00000000" w:rsidDel="00000000" w:rsidP="00000000" w:rsidRDefault="00000000" w:rsidRPr="00000000" w14:paraId="0000001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Que, en sentencia del 29 de agosto de 2013, con radicado No. 25000 2326 000 2001 01343 01, del Consejo de Estado, Sala de lo Contencioso Administrativo, Sección Tercera — Subsección "B" dispuso, en el numeral octavo: "Remitir, por conducto de la secretaría de esta sección, copia de esta sentencia al Ministerio de Salud como fórmula para incentivar el diseño e implementación de nuevos y mejores programas e iniciativas para detectar, prevenir y reducir los riesgos de enfermedades asociadas a la prestación de los servicios de salud". 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Que, desde 2012, este Ministerio había instado a la movilización de recursos humanos y financieros con el fin de reducir al mínimo la aparición y la propagación de la resistencia a los antimicrobianos, y en particular en el numeral 1 de la Circular 045 definió que "La Vigilancia en Salud Pública de Infecciones Asociadas a la Atención en Salud, resistencia y consumo a los antimicrobianos se incorpora al Sistema Nacional de Vigilancia en Salud Pública —Sivigila-". </w:t>
      </w:r>
    </w:p>
    <w:p w:rsidR="00000000" w:rsidDel="00000000" w:rsidP="00000000" w:rsidRDefault="00000000" w:rsidRPr="00000000" w14:paraId="0000001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Que, así mismo, el Plan Decenal de Salud Pública 2022-2031, adoptado mediante Resolución 1035 de 2022, definió como parte de las metas "A 2031, el 100% de IPS de mediana y alta complejidad, incrementan la cobertura en la implementación del programa de IAAS y RAM, en todos sus componentes" y "a 2031, el 100% de IPS de mediana y alta complejidad, logran incrementar la cobertura de la estrategia multimodal de higiene de manos"</w:t>
      </w:r>
    </w:p>
    <w:p w:rsidR="00000000" w:rsidDel="00000000" w:rsidP="00000000" w:rsidRDefault="00000000" w:rsidRPr="00000000" w14:paraId="0000001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-284" w:right="-91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-284" w:right="-91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Constitución del Comité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la conformación del Comité de Infecciones cuyo objetivo primordial será sensibilizar al personal en el cumplimiento  de normas de bioseguridad y demás para la prevención de infecciones,  vigilar y monitorear condiciones para prevención de infecciones. </w:t>
      </w:r>
    </w:p>
    <w:p w:rsidR="00000000" w:rsidDel="00000000" w:rsidP="00000000" w:rsidRDefault="00000000" w:rsidRPr="00000000" w14:paraId="0000001C">
      <w:pPr>
        <w:spacing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2. Determinación de integrantes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Gerente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Auxiliar administrativa o de aseo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Asesor de calidad 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Funciones.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Comité de Infecciones de la IPS Endocrinology Health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Desarrollará las siguientes funciones: 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Trabajar en equipo interdisciplinario para garantizar la calidad de la atención prestada a los pacientes y disminuir los riesgos de infección a familiares, visitantes y a trabajadores de la salud.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Organizar y mantener el sistema de vigilancia de las infecciones y sus factores de riesgo.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reuniones de manera mensual y extraordinaria, cuando se amerite,  las veces que sean necesarias.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necesidades de la IPS con el fin de desarrollar programas de capacitación, actualización o implementación de nuevas tecnologías, guías y procedimientos.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Elaborar y cumplir los protocolos de atención a pacientes, manejo de residuos, normas de bioseguridad, importancia del lavado de manos y   todos aquellos procedimientos que estén involucrados en la prevención y control de infecciones y sus factores de riesgo.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Velar por el cumplimiento de las normas y medidas de control establecidas.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Establecer indicadores de calidad para medir los avances de la Institución en el aspecto de las infecciones.</w:t>
      </w:r>
    </w:p>
    <w:p w:rsidR="00000000" w:rsidDel="00000000" w:rsidP="00000000" w:rsidRDefault="00000000" w:rsidRPr="00000000" w14:paraId="0000002B">
      <w:pPr>
        <w:tabs>
          <w:tab w:val="center" w:leader="none" w:pos="510"/>
          <w:tab w:val="left" w:leader="none" w:pos="1134"/>
        </w:tabs>
        <w:spacing w:after="28" w:before="28" w:line="276" w:lineRule="auto"/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Comité de Infecciones, será liderado por el gerente,  quien citará a las reuniones y coordinará con el Secretario del Comité la agenda y orden del día de las mismas, la persona del área de calidad  actuará como secretario.Tendrá bajo su responsabilidad velar por la socialización e implementación de las decisiones tomadas por el Comité.  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5.  Frecuencia de reuniones: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Comité realizará reuniones mensuales, en el día y hora que determine el Comité empezando a partir del mes de enero 2025.  De todas las reuniones se levantará un acta  firmada por los participantes del comité, la cual se archiva en constancia de la gestión realizada. </w:t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Artículo 6.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presente Resolución rige a partir de la fecha de su expedición. </w:t>
      </w:r>
    </w:p>
    <w:p w:rsidR="00000000" w:rsidDel="00000000" w:rsidP="00000000" w:rsidRDefault="00000000" w:rsidRPr="00000000" w14:paraId="00000031">
      <w:pPr>
        <w:spacing w:after="16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640"/>
        </w:tabs>
        <w:spacing w:line="276" w:lineRule="auto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Barranquilla, 10 de enero de 2025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69049" cy="928014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9049" cy="928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" w:line="249" w:lineRule="auto"/>
        <w:ind w:left="10" w:right="7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CARLOS VIZCAINO</w:t>
      </w:r>
    </w:p>
    <w:p w:rsidR="00000000" w:rsidDel="00000000" w:rsidP="00000000" w:rsidRDefault="00000000" w:rsidRPr="00000000" w14:paraId="00000039">
      <w:pPr>
        <w:spacing w:after="5" w:line="249" w:lineRule="auto"/>
        <w:ind w:left="10" w:right="7" w:firstLine="0"/>
        <w:jc w:val="both"/>
        <w:rPr>
          <w:rFonts w:ascii="Arial" w:cs="Arial" w:eastAsia="Arial" w:hAnsi="Arial"/>
          <w:b w:val="1"/>
          <w:sz w:val="24"/>
          <w:szCs w:val="24"/>
        </w:rPr>
      </w:pPr>
      <w:bookmarkStart w:colFirst="0" w:colLast="0" w:name="_heading=h.tz6dvpz26ts2" w:id="1"/>
      <w:bookmarkEnd w:id="1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GERENTE </w:t>
      </w:r>
    </w:p>
    <w:sectPr>
      <w:headerReference r:id="rId8" w:type="default"/>
      <w:headerReference r:id="rId9" w:type="first"/>
      <w:headerReference r:id="rId10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tabs>
        <w:tab w:val="center" w:leader="none" w:pos="4252"/>
        <w:tab w:val="right" w:leader="none" w:pos="8504"/>
      </w:tabs>
      <w:jc w:val="center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114300" distR="114300">
          <wp:extent cx="1928813" cy="840764"/>
          <wp:effectExtent b="0" l="0" r="0" t="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634" l="11428" r="14285" t="18793"/>
                  <a:stretch>
                    <a:fillRect/>
                  </a:stretch>
                </pic:blipFill>
                <pic:spPr>
                  <a:xfrm>
                    <a:off x="0" y="0"/>
                    <a:ext cx="1928813" cy="8407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20.0pt;height:153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20.0pt;height:153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b w:val="0"/>
        <w:color w:val="00000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s-MX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w w:val="100"/>
      <w:kern w:val="28"/>
      <w:position w:val="-1"/>
      <w:sz w:val="28"/>
      <w:effect w:val="none"/>
      <w:vertAlign w:val="baseline"/>
      <w:cs w:val="0"/>
      <w:em w:val="none"/>
      <w:lang w:bidi="ar-SA" w:eastAsia="es-ES" w:val="es-NI"/>
    </w:rPr>
  </w:style>
  <w:style w:type="paragraph" w:styleId="Título4">
    <w:name w:val="Título 4"/>
    <w:basedOn w:val="Normal"/>
    <w:next w:val="Normal"/>
    <w:autoRedefine w:val="0"/>
    <w:hidden w:val="0"/>
    <w:qFormat w:val="1"/>
    <w:pPr>
      <w:keepNext w:val="1"/>
      <w:keepLines w:val="1"/>
      <w:suppressAutoHyphens w:val="1"/>
      <w:spacing w:before="200" w:line="1" w:lineRule="atLeast"/>
      <w:ind w:leftChars="-1" w:rightChars="0" w:firstLineChars="-1"/>
      <w:textDirection w:val="btLr"/>
      <w:textAlignment w:val="top"/>
      <w:outlineLvl w:val="3"/>
    </w:pPr>
    <w:rPr>
      <w:rFonts w:ascii="Cambria" w:eastAsia="Times New Roman" w:hAnsi="Cambria"/>
      <w:b w:val="1"/>
      <w:bCs w:val="1"/>
      <w:i w:val="1"/>
      <w:iCs w:val="1"/>
      <w:color w:val="4f81bd"/>
      <w:w w:val="100"/>
      <w:position w:val="-1"/>
      <w:effect w:val="none"/>
      <w:vertAlign w:val="baseline"/>
      <w:cs w:val="0"/>
      <w:em w:val="none"/>
      <w:lang w:bidi="ar-SA" w:eastAsia="es-MX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s-MX" w:val="es-ES"/>
    </w:rPr>
  </w:style>
  <w:style w:type="character" w:styleId="EncabezadoCar">
    <w:name w:val="Encabezado Car"/>
    <w:basedOn w:val="Fuentedepárrafopredeter."/>
    <w:next w:val="Encabezad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s-MX" w:val="es-ES"/>
    </w:rPr>
  </w:style>
  <w:style w:type="character" w:styleId="PiedepáginaCar">
    <w:name w:val="Pie de página Car"/>
    <w:basedOn w:val="Fuentedepárrafopredeter.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eastAsia="Calibri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ándar">
    <w:name w:val="Estándar"/>
    <w:next w:val="Estánda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snapToGrid w:val="0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CUERPOTEXTO">
    <w:name w:val="CUERPO TEXTO"/>
    <w:basedOn w:val="Normal"/>
    <w:next w:val="CUERPOTEXTO"/>
    <w:autoRedefine w:val="0"/>
    <w:hidden w:val="0"/>
    <w:qFormat w:val="0"/>
    <w:pPr>
      <w:tabs>
        <w:tab w:val="center" w:leader="none" w:pos="510"/>
        <w:tab w:val="left" w:leader="none" w:pos="1134"/>
      </w:tabs>
      <w:suppressAutoHyphens w:val="1"/>
      <w:autoSpaceDE w:val="0"/>
      <w:autoSpaceDN w:val="0"/>
      <w:adjustRightInd w:val="0"/>
      <w:spacing w:after="28" w:before="28" w:line="210" w:lineRule="atLeast"/>
      <w:ind w:leftChars="-1" w:rightChars="0" w:firstLine="283" w:firstLineChars="-1"/>
      <w:jc w:val="both"/>
      <w:textDirection w:val="btLr"/>
      <w:textAlignment w:val="top"/>
      <w:outlineLvl w:val="0"/>
    </w:pPr>
    <w:rPr>
      <w:rFonts w:ascii="Times" w:eastAsia="Times New Roman" w:hAnsi="Times"/>
      <w:color w:val="000000"/>
      <w:w w:val="100"/>
      <w:position w:val="-1"/>
      <w:sz w:val="19"/>
      <w:szCs w:val="19"/>
      <w:effect w:val="none"/>
      <w:vertAlign w:val="baseline"/>
      <w:cs w:val="0"/>
      <w:em w:val="none"/>
      <w:lang w:bidi="ar-SA" w:eastAsia="es-ES" w:val="es-E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cs="Times New Roman" w:eastAsia="Times New Roman" w:hAnsi="Arial"/>
      <w:b w:val="1"/>
      <w:w w:val="100"/>
      <w:kern w:val="28"/>
      <w:position w:val="-1"/>
      <w:sz w:val="28"/>
      <w:szCs w:val="20"/>
      <w:effect w:val="none"/>
      <w:vertAlign w:val="baseline"/>
      <w:cs w:val="0"/>
      <w:em w:val="none"/>
      <w:lang w:eastAsia="es-ES" w:val="es-NI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Century Gothic" w:eastAsia="SimSun" w:hAnsi="Century Gothic"/>
      <w:w w:val="100"/>
      <w:position w:val="-1"/>
      <w:szCs w:val="18"/>
      <w:effect w:val="none"/>
      <w:vertAlign w:val="baseline"/>
      <w:cs w:val="0"/>
      <w:em w:val="none"/>
      <w:lang w:bidi="ar-SA" w:eastAsia="zh-CN" w:val="und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Century Gothic" w:cs="Arial" w:eastAsia="SimSun" w:hAnsi="Century Gothic"/>
      <w:w w:val="100"/>
      <w:position w:val="-1"/>
      <w:sz w:val="20"/>
      <w:szCs w:val="18"/>
      <w:effect w:val="none"/>
      <w:vertAlign w:val="baseline"/>
      <w:cs w:val="0"/>
      <w:em w:val="none"/>
      <w:lang w:eastAsia="zh-CN"/>
    </w:rPr>
  </w:style>
  <w:style w:type="paragraph" w:styleId="Lista">
    <w:name w:val="Lista"/>
    <w:basedOn w:val="Normal"/>
    <w:next w:val="Lista"/>
    <w:autoRedefine w:val="0"/>
    <w:hidden w:val="0"/>
    <w:qFormat w:val="0"/>
    <w:pPr>
      <w:suppressAutoHyphens w:val="1"/>
      <w:spacing w:line="1" w:lineRule="atLeast"/>
      <w:ind w:left="283" w:leftChars="-1" w:rightChars="0" w:hanging="283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s-ES" w:val="es-NI"/>
    </w:rPr>
  </w:style>
  <w:style w:type="paragraph" w:styleId="Continuarlista">
    <w:name w:val="Continuar lista"/>
    <w:basedOn w:val="Normal"/>
    <w:next w:val="Continuarlista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bidi="ar-SA" w:eastAsia="es-ES" w:val="es-NI"/>
    </w:rPr>
  </w:style>
  <w:style w:type="character" w:styleId="Hipervínculo">
    <w:name w:val="Hipervínculo"/>
    <w:next w:val="Hipervínculo"/>
    <w:autoRedefine w:val="0"/>
    <w:hidden w:val="0"/>
    <w:qFormat w:val="0"/>
    <w:rPr>
      <w:color w:val="429e00"/>
      <w:w w:val="100"/>
      <w:position w:val="-1"/>
      <w:u w:val="none"/>
      <w:effect w:val="none"/>
      <w:vertAlign w:val="baseline"/>
      <w:cs w:val="0"/>
      <w:em w:val="none"/>
      <w:lang/>
    </w:rPr>
  </w:style>
  <w:style w:type="character" w:styleId="Título4Car">
    <w:name w:val="Título 4 Car"/>
    <w:next w:val="Título4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color w:val="4f81bd"/>
      <w:w w:val="100"/>
      <w:position w:val="-1"/>
      <w:sz w:val="20"/>
      <w:szCs w:val="20"/>
      <w:effect w:val="none"/>
      <w:vertAlign w:val="baseline"/>
      <w:cs w:val="0"/>
      <w:em w:val="none"/>
      <w:lang w:eastAsia="es-MX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mrFVDMpZ5AERhFqcljaoTBkQQ==">CgMxLjAyCGguZ2pkZ3hzMg5oLnR6NmR2cHoyNnRzMjgAciExWl9RNEVQYkVkUlVvYjZVWEdCRDJ4NzlsazBlc25OY2U=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2016-12-13T15:45:00Z</dcterms:created>
  <dc:creator>Usuario 1</dc:creator>
</cp:coreProperties>
</file>