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RESOLUCIÓN N° 004 DE (2025)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(17 DE ENERO DE 2025)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medio de la cual se crean y se establece la estructura y funciones del comité de Ética y atención al usuario de ENDOCRINOLOGY &amp; HEALTH.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gerente de ENDOCRINOLOGY &amp; HEALTH, en uso de sus atribuciones que le confiere como representante legal.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CONSIDERANDO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after="240" w:before="240" w:line="276" w:lineRule="auto"/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en cumplimiento del Decreto 1757 de 1994, por el cual se organizan y se establecen las modalidades y formas de participación social en la prestación de servicios de salud, se define que las instituciones prestadoras de servicios de salud, sean públicas o privadas, deberán conformar el Comité de Ética Hospitalaria.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after="240" w:before="240" w:line="276" w:lineRule="auto"/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la Ley 1751 de 2015 (Ley Estatutaria de Salud) establece la importancia del respeto a la dignidad de los pacientes y la garantía de sus derechos en la prestación de los servicios de salud.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240" w:before="240" w:line="276" w:lineRule="auto"/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la Resolución 3100 de 2019 establece las condiciones de habilitación de los servicios de salud, incluyendo aspectos de calidad y humanización en la atención.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240" w:before="240" w:line="276" w:lineRule="auto"/>
        <w:ind w:left="3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en cumplimiento de la Resolución 2063 de 2017, por la cual se reglamenta el Sistema de Atención al Usuario en Salud, las IPS deben contar con mecanismos de participación y comités que garanticen la calidad en la atención y la defensa de los derechos de los usuarios.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aras de lo anterior,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RESUELVE: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ARTÍCULO PRIMERO: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Conformar el comité de Ética y atención al usuario, el cual quedará conformado de la siguiente manera: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Auxiliar administrativa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Asesor de calidad</w:t>
      </w:r>
    </w:p>
    <w:p w:rsidR="00000000" w:rsidDel="00000000" w:rsidP="00000000" w:rsidRDefault="00000000" w:rsidRPr="00000000" w14:paraId="00000016">
      <w:pPr>
        <w:spacing w:after="0" w:line="276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PARÁGRAFO 1: Los representantes de la Asociación de Usuarios elegidos integrarán el comité de Ética y atención al usuario una vez se actualice la conformación de la asociación de usuarios de la IPS y en caso tal se llegue a conformar, de lo contrario se reunirán el resto del quórum.</w:t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ARTÍCULO SEGUNDO.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Las funciones del comité de Ética y atención al usuario de la ENDOCRINOLOGY &amp; HEALTH serán las siguientes: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Promover programas de promoción y prevención en el cuidado de la salud individual, familiar, ambiental y los dirigidos a construir una cultura del servidor público.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Divulgar entre los funcionarios y la comunidad usuaria de servicios los derechos y deberes en salud.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Velar porque se cumplan los derechos y deberes en forma ágil y oportuna.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Proponer las medidas que mejoren la oportunidad y la calidad técnica y humana de los servicios de salud y preserven su menor costo y vigilar su cumplimiento.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Atender y canalizar las veedurías sobre calidad y oportunidad en la prestación de servicios de salud.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Atender y Canalizar las inquietudes y demandas sobre prestación de servicios de la respectiva institución, por violación de los derechos y deberes ciudadanos en salud.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Llevar un Acta de cada reunión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Elegir un representante ante los Comités de Ética Profesional del Sector Salud, y enviar para su estudio los casos que considere pertinentes.</w:t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ARTÍCULO TERCERO.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comité de Ética y atención al usuario se reunirá como mínimo cada tres meses, empezando a partir del mes de enero 2025 y extraordinariamente cuando las circunstancias así lo requieran, para lo cual deberán ser convocados por dos de sus miembros. De las reuniones se dejarán las respectivas actas.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ARTÍCULO CUARTO.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Notifíquese personalmente de este acto a las personas elegidas y designadas en el artículo primero para la conformación del comité de Ética y atención al usuario.</w:t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ARTÍCULO QUINTO.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presente resolución rige a partir de la fecha de su expedición y deroga cualquier otra resolución o disposición gerencial que le sea contraria o controlar la ocurrencia de un evento o la existencia de una situación que atenten contra la salud individual o colectiva en su área de influencia.</w:t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NOTIFIQUESE Y CUMPLASE</w:t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Dada en Ibagué, a los 17 días de Enero de 2025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69049" cy="928014"/>
            <wp:effectExtent b="0" l="0" r="0" t="0"/>
            <wp:docPr id="1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9049" cy="928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" w:line="249" w:lineRule="auto"/>
        <w:ind w:left="10" w:right="7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CARLOS JAVIER VIZCAÍNO</w:t>
      </w:r>
    </w:p>
    <w:p w:rsidR="00000000" w:rsidDel="00000000" w:rsidP="00000000" w:rsidRDefault="00000000" w:rsidRPr="00000000" w14:paraId="0000002D">
      <w:pPr>
        <w:spacing w:after="5" w:line="249" w:lineRule="auto"/>
        <w:ind w:left="10" w:right="7" w:firstLine="0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tz6dvpz26ts2" w:id="1"/>
      <w:bookmarkEnd w:id="1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GERENTE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pgSz w:h="15840" w:w="12240" w:orient="portrait"/>
      <w:pgMar w:bottom="1107.1653543307093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Fonts w:ascii="Arial" w:cs="Arial" w:eastAsia="Arial" w:hAnsi="Arial"/>
        <w:sz w:val="24"/>
        <w:szCs w:val="24"/>
      </w:rPr>
      <w:drawing>
        <wp:inline distB="0" distT="0" distL="114300" distR="114300">
          <wp:extent cx="2410377" cy="1044892"/>
          <wp:effectExtent b="0" l="0" r="0" t="0"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634" l="11428" r="14285" t="18793"/>
                  <a:stretch>
                    <a:fillRect/>
                  </a:stretch>
                </pic:blipFill>
                <pic:spPr>
                  <a:xfrm>
                    <a:off x="0" y="0"/>
                    <a:ext cx="2410377" cy="10448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pict>
        <v:shape id="WordPictureWatermark1" style="position:absolute;width:441.6pt;height:441.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pict>
        <v:shape id="WordPictureWatermark2" style="position:absolute;width:441.6pt;height:441.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"/>
      </w:rPr>
    </w:rPrDefault>
    <w:pPrDefault>
      <w:pPr>
        <w:spacing w:after="16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="240" w:lineRule="auto"/>
      <w:jc w:val="center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  <w:jc w:val="center"/>
    </w:pPr>
    <w:rPr>
      <w:rFonts w:ascii="Calibri" w:cs="Calibri" w:eastAsia="Calibri" w:hAnsi="Calibri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40" w:lineRule="auto"/>
    </w:pPr>
    <w:rPr>
      <w:rFonts w:ascii="Calibri" w:cs="Calibri" w:eastAsia="Calibri" w:hAnsi="Calibri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i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sz w:val="26"/>
      <w:szCs w:val="26"/>
    </w:rPr>
  </w:style>
  <w:style w:type="paragraph" w:styleId="Title">
    <w:name w:val="Title"/>
    <w:basedOn w:val="Normal"/>
    <w:next w:val="Normal"/>
    <w:pPr>
      <w:pBdr>
        <w:top w:color="a5a5a5" w:space="8" w:sz="6" w:val="single"/>
        <w:bottom w:color="a5a5a5" w:space="8" w:sz="6" w:val="single"/>
      </w:pBdr>
      <w:spacing w:after="400" w:line="240" w:lineRule="auto"/>
      <w:jc w:val="center"/>
    </w:pPr>
    <w:rPr>
      <w:rFonts w:ascii="Calibri" w:cs="Calibri" w:eastAsia="Calibri" w:hAnsi="Calibri"/>
      <w:smallCaps w:val="1"/>
      <w:color w:val="44546a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C3F6B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C3F6B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C3F6B"/>
    <w:pPr>
      <w:keepNext w:val="1"/>
      <w:keepLines w:val="1"/>
      <w:spacing w:after="0" w:before="40"/>
      <w:outlineLvl w:val="8"/>
    </w:pPr>
    <w:rPr>
      <w:b w:val="1"/>
      <w:bCs w:val="1"/>
      <w:i w:val="1"/>
      <w:iCs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C3F6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9C3F6B"/>
    <w:rPr>
      <w:rFonts w:asciiTheme="majorHAnsi" w:cstheme="majorBidi" w:eastAsiaTheme="majorEastAsia" w:hAnsiTheme="majorHAnsi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9C3F6B"/>
    <w:rPr>
      <w:rFonts w:asciiTheme="majorHAnsi" w:cstheme="majorBidi" w:eastAsiaTheme="majorEastAsia" w:hAnsiTheme="majorHAnsi"/>
      <w:sz w:val="32"/>
      <w:szCs w:val="32"/>
    </w:rPr>
  </w:style>
  <w:style w:type="character" w:styleId="Ttulo4Car" w:customStyle="1">
    <w:name w:val="Título 4 Car"/>
    <w:basedOn w:val="Fuentedeprrafopredeter"/>
    <w:link w:val="Ttulo4"/>
    <w:uiPriority w:val="9"/>
    <w:rsid w:val="009C3F6B"/>
    <w:rPr>
      <w:rFonts w:asciiTheme="majorHAnsi" w:cstheme="majorBidi" w:eastAsiaTheme="majorEastAsia" w:hAnsiTheme="majorHAnsi"/>
      <w:i w:val="1"/>
      <w:iCs w:val="1"/>
      <w:sz w:val="30"/>
      <w:szCs w:val="30"/>
    </w:rPr>
  </w:style>
  <w:style w:type="character" w:styleId="Ttulo5Car" w:customStyle="1">
    <w:name w:val="Título 5 Car"/>
    <w:basedOn w:val="Fuentedeprrafopredeter"/>
    <w:link w:val="Ttulo5"/>
    <w:uiPriority w:val="9"/>
    <w:rsid w:val="009C3F6B"/>
    <w:rPr>
      <w:rFonts w:asciiTheme="majorHAnsi" w:cstheme="majorBidi" w:eastAsiaTheme="majorEastAsia" w:hAnsiTheme="majorHAnsi"/>
      <w:sz w:val="28"/>
      <w:szCs w:val="28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C3F6B"/>
    <w:rPr>
      <w:rFonts w:asciiTheme="majorHAnsi" w:cstheme="majorBidi" w:eastAsiaTheme="majorEastAsia" w:hAnsiTheme="majorHAnsi"/>
      <w:i w:val="1"/>
      <w:iCs w:val="1"/>
      <w:sz w:val="26"/>
      <w:szCs w:val="2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C3F6B"/>
    <w:rPr>
      <w:rFonts w:asciiTheme="majorHAnsi" w:cstheme="majorBidi" w:eastAsiaTheme="majorEastAsia" w:hAnsiTheme="majorHAnsi"/>
      <w:sz w:val="24"/>
      <w:szCs w:val="24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C3F6B"/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C3F6B"/>
    <w:rPr>
      <w:b w:val="1"/>
      <w:bCs w:val="1"/>
      <w:i w:val="1"/>
      <w:iCs w:val="1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9C3F6B"/>
    <w:pPr>
      <w:spacing w:line="240" w:lineRule="auto"/>
    </w:pPr>
    <w:rPr>
      <w:b w:val="1"/>
      <w:bCs w:val="1"/>
      <w:color w:val="404040" w:themeColor="text1" w:themeTint="0000BF"/>
      <w:sz w:val="16"/>
      <w:szCs w:val="16"/>
    </w:rPr>
  </w:style>
  <w:style w:type="character" w:styleId="TtuloCar" w:customStyle="1">
    <w:name w:val="Título Car"/>
    <w:basedOn w:val="Fuentedeprrafopredeter"/>
    <w:link w:val="Ttulo"/>
    <w:uiPriority w:val="10"/>
    <w:rsid w:val="009C3F6B"/>
    <w:rPr>
      <w:rFonts w:asciiTheme="majorHAnsi" w:cstheme="majorBidi" w:eastAsiaTheme="majorEastAsia" w:hAnsiTheme="majorHAnsi"/>
      <w:caps w:val="1"/>
      <w:color w:val="44546a" w:themeColor="text2"/>
      <w:spacing w:val="30"/>
      <w:sz w:val="72"/>
      <w:szCs w:val="72"/>
    </w:rPr>
  </w:style>
  <w:style w:type="character" w:styleId="SubttuloCar" w:customStyle="1">
    <w:name w:val="Subtítulo Car"/>
    <w:basedOn w:val="Fuentedeprrafopredeter"/>
    <w:link w:val="Subttulo"/>
    <w:uiPriority w:val="11"/>
    <w:rsid w:val="009C3F6B"/>
    <w:rPr>
      <w:color w:val="44546a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 w:val="1"/>
    <w:rsid w:val="009C3F6B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9C3F6B"/>
    <w:rPr>
      <w:i w:val="1"/>
      <w:iCs w:val="1"/>
      <w:color w:val="000000" w:themeColor="text1"/>
    </w:rPr>
  </w:style>
  <w:style w:type="paragraph" w:styleId="Sinespaciado">
    <w:name w:val="No Spacing"/>
    <w:uiPriority w:val="1"/>
    <w:qFormat w:val="1"/>
    <w:rsid w:val="009C3F6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9C3F6B"/>
    <w:pPr>
      <w:spacing w:before="160"/>
      <w:ind w:left="720" w:right="720"/>
      <w:jc w:val="center"/>
    </w:pPr>
    <w:rPr>
      <w:i w:val="1"/>
      <w:iCs w:val="1"/>
      <w:color w:val="7b7b7b" w:themeColor="accent3" w:themeShade="0000BF"/>
      <w:sz w:val="24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9C3F6B"/>
    <w:rPr>
      <w:i w:val="1"/>
      <w:iCs w:val="1"/>
      <w:color w:val="7b7b7b" w:themeColor="accent3" w:themeShade="0000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C3F6B"/>
    <w:pPr>
      <w:spacing w:before="160" w:line="276" w:lineRule="auto"/>
      <w:ind w:left="936" w:right="936"/>
      <w:jc w:val="center"/>
    </w:pPr>
    <w:rPr>
      <w:rFonts w:asciiTheme="majorHAnsi" w:cstheme="majorBidi" w:eastAsiaTheme="majorEastAsia" w:hAnsiTheme="majorHAnsi"/>
      <w:caps w:val="1"/>
      <w:color w:val="2f5496" w:themeColor="accent1" w:themeShade="0000BF"/>
      <w:sz w:val="28"/>
      <w:szCs w:val="28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C3F6B"/>
    <w:rPr>
      <w:rFonts w:asciiTheme="majorHAnsi" w:cstheme="majorBidi" w:eastAsiaTheme="majorEastAsia" w:hAnsiTheme="majorHAnsi"/>
      <w:caps w:val="1"/>
      <w:color w:val="2f5496" w:themeColor="accent1" w:themeShade="0000BF"/>
      <w:sz w:val="28"/>
      <w:szCs w:val="28"/>
    </w:rPr>
  </w:style>
  <w:style w:type="character" w:styleId="nfasissutil">
    <w:name w:val="Subtle Emphasis"/>
    <w:basedOn w:val="Fuentedeprrafopredeter"/>
    <w:uiPriority w:val="19"/>
    <w:qFormat w:val="1"/>
    <w:rsid w:val="009C3F6B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9C3F6B"/>
    <w:rPr>
      <w:b w:val="1"/>
      <w:bCs w:val="1"/>
      <w:i w:val="1"/>
      <w:iCs w:val="1"/>
      <w:color w:val="auto"/>
    </w:rPr>
  </w:style>
  <w:style w:type="character" w:styleId="Referenciasutil">
    <w:name w:val="Subtle Reference"/>
    <w:basedOn w:val="Fuentedeprrafopredeter"/>
    <w:uiPriority w:val="31"/>
    <w:qFormat w:val="1"/>
    <w:rsid w:val="009C3F6B"/>
    <w:rPr>
      <w:caps w:val="0"/>
      <w:smallCaps w:val="1"/>
      <w:color w:val="404040" w:themeColor="text1" w:themeTint="0000BF"/>
      <w:spacing w:val="0"/>
      <w:u w:color="7f7f7f" w:themeColor="text1" w:themeTint="000080" w:val="single"/>
    </w:rPr>
  </w:style>
  <w:style w:type="character" w:styleId="Referenciaintensa">
    <w:name w:val="Intense Reference"/>
    <w:basedOn w:val="Fuentedeprrafopredeter"/>
    <w:uiPriority w:val="32"/>
    <w:qFormat w:val="1"/>
    <w:rsid w:val="009C3F6B"/>
    <w:rPr>
      <w:b w:val="1"/>
      <w:bCs w:val="1"/>
      <w:caps w:val="0"/>
      <w:smallCaps w:val="1"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 w:val="1"/>
    <w:rsid w:val="009C3F6B"/>
    <w:rPr>
      <w:b w:val="1"/>
      <w:bCs w:val="1"/>
      <w:caps w:val="0"/>
      <w:smallCaps w:val="1"/>
      <w:spacing w:val="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9C3F6B"/>
    <w:pPr>
      <w:outlineLvl w:val="9"/>
    </w:pPr>
  </w:style>
  <w:style w:type="paragraph" w:styleId="Encabezado">
    <w:name w:val="header"/>
    <w:basedOn w:val="Normal"/>
    <w:link w:val="EncabezadoCar"/>
    <w:uiPriority w:val="99"/>
    <w:unhideWhenUsed w:val="1"/>
    <w:rsid w:val="009C3F6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C3F6B"/>
  </w:style>
  <w:style w:type="paragraph" w:styleId="Piedepgina">
    <w:name w:val="footer"/>
    <w:basedOn w:val="Normal"/>
    <w:link w:val="PiedepginaCar"/>
    <w:uiPriority w:val="99"/>
    <w:unhideWhenUsed w:val="1"/>
    <w:rsid w:val="009C3F6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C3F6B"/>
  </w:style>
  <w:style w:type="paragraph" w:styleId="Prrafodelista">
    <w:name w:val="List Paragraph"/>
    <w:basedOn w:val="Normal"/>
    <w:uiPriority w:val="1"/>
    <w:qFormat w:val="1"/>
    <w:rsid w:val="009E3BFD"/>
    <w:pPr>
      <w:widowControl w:val="0"/>
      <w:autoSpaceDE w:val="0"/>
      <w:autoSpaceDN w:val="0"/>
      <w:spacing w:after="0" w:line="317" w:lineRule="exact"/>
      <w:ind w:left="2357" w:hanging="368"/>
    </w:pPr>
    <w:rPr>
      <w:rFonts w:ascii="Arial Black" w:cs="Arial Black" w:eastAsia="Arial Black" w:hAnsi="Arial Black"/>
      <w:sz w:val="22"/>
      <w:szCs w:val="22"/>
      <w:lang w:val="es-ES"/>
    </w:rPr>
  </w:style>
  <w:style w:type="paragraph" w:styleId="Subtitle">
    <w:name w:val="Subtitle"/>
    <w:basedOn w:val="Normal"/>
    <w:next w:val="Normal"/>
    <w:pPr>
      <w:jc w:val="center"/>
    </w:pPr>
    <w:rPr>
      <w:color w:val="44546a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rrF1JFl8ihewLTBqIIUQbrFHyA==">CgMxLjAyCGguZ2pkZ3hzMg5oLnR6NmR2cHoyNnRzMjgAciExS0NZWVdtTmRNbmI0OVd1RVJTbENfT3VOdFVFZHN4aHE=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2021-07-23T21:02:00Z</dcterms:created>
  <dc:creator>Inmunar Gerencia</dc:creator>
</cp:coreProperties>
</file>