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10"/>
          <w:szCs w:val="10"/>
        </w:rPr>
      </w:pPr>
      <w:r w:rsidDel="00000000" w:rsidR="00000000" w:rsidRPr="00000000">
        <w:rPr>
          <w:rtl w:val="0"/>
        </w:rPr>
      </w:r>
    </w:p>
    <w:tbl>
      <w:tblPr>
        <w:tblStyle w:val="Table1"/>
        <w:tblW w:w="9765.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50"/>
        <w:gridCol w:w="4200"/>
        <w:gridCol w:w="510"/>
        <w:tblGridChange w:id="0">
          <w:tblGrid>
            <w:gridCol w:w="4605"/>
            <w:gridCol w:w="450"/>
            <w:gridCol w:w="4200"/>
            <w:gridCol w:w="510"/>
          </w:tblGrid>
        </w:tblGridChange>
      </w:tblGrid>
      <w:tr>
        <w:trPr>
          <w:cantSplit w:val="0"/>
          <w:tblHeader w:val="0"/>
        </w:trPr>
        <w:tc>
          <w:tcPr>
            <w:gridSpan w:val="4"/>
          </w:tcPr>
          <w:p w:rsidR="00000000" w:rsidDel="00000000" w:rsidP="00000000" w:rsidRDefault="00000000" w:rsidRPr="00000000" w14:paraId="00000003">
            <w:pPr>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7">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Comité </w:t>
            </w:r>
          </w:p>
        </w:tc>
        <w:tc>
          <w:tcPr/>
          <w:p w:rsidR="00000000" w:rsidDel="00000000" w:rsidP="00000000" w:rsidRDefault="00000000" w:rsidRPr="00000000" w14:paraId="00000008">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p w:rsidR="00000000" w:rsidDel="00000000" w:rsidP="00000000" w:rsidRDefault="00000000" w:rsidRPr="00000000" w14:paraId="0000000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Auditoría</w:t>
            </w:r>
          </w:p>
        </w:tc>
        <w:tc>
          <w:tcPr/>
          <w:p w:rsidR="00000000" w:rsidDel="00000000" w:rsidP="00000000" w:rsidRDefault="00000000" w:rsidRPr="00000000" w14:paraId="0000000A">
            <w:pPr>
              <w:ind w:left="0" w:hanging="2"/>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Reunión interna</w:t>
            </w:r>
          </w:p>
        </w:tc>
        <w:tc>
          <w:tcPr/>
          <w:p w:rsidR="00000000" w:rsidDel="00000000" w:rsidP="00000000" w:rsidRDefault="00000000" w:rsidRPr="00000000" w14:paraId="0000000C">
            <w:pPr>
              <w:ind w:left="0" w:hanging="2"/>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0D">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w:t>
            </w:r>
          </w:p>
        </w:tc>
        <w:tc>
          <w:tcPr/>
          <w:p w:rsidR="00000000" w:rsidDel="00000000" w:rsidP="00000000" w:rsidRDefault="00000000" w:rsidRPr="00000000" w14:paraId="0000000E">
            <w:pPr>
              <w:ind w:left="0" w:hanging="2"/>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F">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Reunión Personal</w:t>
            </w:r>
          </w:p>
        </w:tc>
        <w:tc>
          <w:tcPr/>
          <w:p w:rsidR="00000000" w:rsidDel="00000000" w:rsidP="00000000" w:rsidRDefault="00000000" w:rsidRPr="00000000" w14:paraId="00000010">
            <w:pPr>
              <w:ind w:left="0" w:hanging="2"/>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1">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Junta Directiva </w:t>
            </w:r>
          </w:p>
        </w:tc>
        <w:tc>
          <w:tcPr/>
          <w:p w:rsidR="00000000" w:rsidDel="00000000" w:rsidP="00000000" w:rsidRDefault="00000000" w:rsidRPr="00000000" w14:paraId="00000012">
            <w:pPr>
              <w:ind w:left="0" w:hanging="2"/>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Reunión con cliente y/o proveedores</w:t>
            </w:r>
          </w:p>
        </w:tc>
        <w:tc>
          <w:tcPr/>
          <w:p w:rsidR="00000000" w:rsidDel="00000000" w:rsidP="00000000" w:rsidRDefault="00000000" w:rsidRPr="00000000" w14:paraId="00000014">
            <w:pPr>
              <w:ind w:left="0" w:hanging="2"/>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5">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Visita entes reguladores</w:t>
            </w:r>
          </w:p>
        </w:tc>
        <w:tc>
          <w:tcPr/>
          <w:p w:rsidR="00000000" w:rsidDel="00000000" w:rsidP="00000000" w:rsidRDefault="00000000" w:rsidRPr="00000000" w14:paraId="00000016">
            <w:pPr>
              <w:ind w:left="0" w:hanging="2"/>
              <w:rPr>
                <w:rFonts w:ascii="Arial" w:cs="Arial" w:eastAsia="Arial" w:hAnsi="Arial"/>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7">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Otro, ¿Cuál? </w:t>
            </w:r>
          </w:p>
        </w:tc>
      </w:tr>
    </w:tbl>
    <w:p w:rsidR="00000000" w:rsidDel="00000000" w:rsidP="00000000" w:rsidRDefault="00000000" w:rsidRPr="00000000" w14:paraId="0000001B">
      <w:pPr>
        <w:ind w:left="0" w:hanging="2"/>
        <w:jc w:val="both"/>
        <w:rPr>
          <w:rFonts w:ascii="Arial" w:cs="Arial" w:eastAsia="Arial" w:hAnsi="Arial"/>
          <w:sz w:val="22"/>
          <w:szCs w:val="22"/>
        </w:rPr>
      </w:pPr>
      <w:r w:rsidDel="00000000" w:rsidR="00000000" w:rsidRPr="00000000">
        <w:rPr>
          <w:rtl w:val="0"/>
        </w:rPr>
      </w:r>
    </w:p>
    <w:tbl>
      <w:tblPr>
        <w:tblStyle w:val="Table2"/>
        <w:tblW w:w="9765.0"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2940"/>
        <w:gridCol w:w="3600"/>
        <w:tblGridChange w:id="0">
          <w:tblGrid>
            <w:gridCol w:w="3225"/>
            <w:gridCol w:w="2940"/>
            <w:gridCol w:w="3600"/>
          </w:tblGrid>
        </w:tblGridChange>
      </w:tblGrid>
      <w:tr>
        <w:trPr>
          <w:cantSplit w:val="0"/>
          <w:tblHeader w:val="0"/>
        </w:trPr>
        <w:tc>
          <w:tcPr>
            <w:gridSpan w:val="3"/>
          </w:tcPr>
          <w:p w:rsidR="00000000" w:rsidDel="00000000" w:rsidP="00000000" w:rsidRDefault="00000000" w:rsidRPr="00000000" w14:paraId="0000001C">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OBJETIVO DE LA REUNIÓN: COMITÉ DE CALIDAD</w:t>
            </w:r>
            <w:r w:rsidDel="00000000" w:rsidR="00000000" w:rsidRPr="00000000">
              <w:rPr>
                <w:rtl w:val="0"/>
              </w:rPr>
            </w:r>
          </w:p>
        </w:tc>
      </w:tr>
      <w:tr>
        <w:trPr>
          <w:cantSplit w:val="0"/>
          <w:tblHeader w:val="0"/>
        </w:trPr>
        <w:tc>
          <w:tcPr/>
          <w:p w:rsidR="00000000" w:rsidDel="00000000" w:rsidP="00000000" w:rsidRDefault="00000000" w:rsidRPr="00000000" w14:paraId="0000001F">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FECHA:  21 DE ABRIL - 2025</w:t>
            </w:r>
            <w:r w:rsidDel="00000000" w:rsidR="00000000" w:rsidRPr="00000000">
              <w:rPr>
                <w:rtl w:val="0"/>
              </w:rPr>
            </w:r>
          </w:p>
        </w:tc>
        <w:tc>
          <w:tcPr/>
          <w:p w:rsidR="00000000" w:rsidDel="00000000" w:rsidP="00000000" w:rsidRDefault="00000000" w:rsidRPr="00000000" w14:paraId="00000020">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HORA DE INICIO: 8:00 AM</w:t>
            </w:r>
            <w:r w:rsidDel="00000000" w:rsidR="00000000" w:rsidRPr="00000000">
              <w:rPr>
                <w:rtl w:val="0"/>
              </w:rPr>
            </w:r>
          </w:p>
        </w:tc>
        <w:tc>
          <w:tcPr/>
          <w:p w:rsidR="00000000" w:rsidDel="00000000" w:rsidP="00000000" w:rsidRDefault="00000000" w:rsidRPr="00000000" w14:paraId="00000021">
            <w:pPr>
              <w:ind w:left="0" w:right="-108"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HORA FINALIZACIÓN: 10:15 AM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2">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LUGAR:  PRESENCIAL EN SEDE</w:t>
            </w:r>
            <w:r w:rsidDel="00000000" w:rsidR="00000000" w:rsidRPr="00000000">
              <w:rPr>
                <w:rtl w:val="0"/>
              </w:rPr>
            </w:r>
          </w:p>
        </w:tc>
      </w:tr>
    </w:tbl>
    <w:p w:rsidR="00000000" w:rsidDel="00000000" w:rsidP="00000000" w:rsidRDefault="00000000" w:rsidRPr="00000000" w14:paraId="00000025">
      <w:pPr>
        <w:ind w:left="0" w:hanging="2"/>
        <w:jc w:val="both"/>
        <w:rPr>
          <w:rFonts w:ascii="Arial" w:cs="Arial" w:eastAsia="Arial" w:hAnsi="Arial"/>
          <w:sz w:val="22"/>
          <w:szCs w:val="22"/>
        </w:rPr>
      </w:pPr>
      <w:r w:rsidDel="00000000" w:rsidR="00000000" w:rsidRPr="00000000">
        <w:rPr>
          <w:rtl w:val="0"/>
        </w:rPr>
      </w:r>
    </w:p>
    <w:tbl>
      <w:tblPr>
        <w:tblStyle w:val="Table3"/>
        <w:tblW w:w="9795.0" w:type="dxa"/>
        <w:jc w:val="left"/>
        <w:tblInd w:w="-5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p w:rsidR="00000000" w:rsidDel="00000000" w:rsidP="00000000" w:rsidRDefault="00000000" w:rsidRPr="00000000" w14:paraId="00000026">
            <w:pPr>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7">
            <w:pPr>
              <w:numPr>
                <w:ilvl w:val="0"/>
                <w:numId w:val="4"/>
              </w:numPr>
              <w:ind w:left="425.19685039370086" w:right="88.93700787401599" w:hanging="28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 asistencia</w:t>
            </w:r>
          </w:p>
        </w:tc>
      </w:tr>
      <w:tr>
        <w:trPr>
          <w:cantSplit w:val="0"/>
          <w:tblHeader w:val="0"/>
        </w:trPr>
        <w:tc>
          <w:tcPr/>
          <w:p w:rsidR="00000000" w:rsidDel="00000000" w:rsidP="00000000" w:rsidRDefault="00000000" w:rsidRPr="00000000" w14:paraId="00000028">
            <w:pPr>
              <w:numPr>
                <w:ilvl w:val="0"/>
                <w:numId w:val="4"/>
              </w:numPr>
              <w:ind w:left="425.19685039370086" w:right="88.93700787401599" w:hanging="28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Lectura y aprobación de la actualización del acto administrativo comité de calidad</w:t>
            </w:r>
          </w:p>
        </w:tc>
      </w:tr>
      <w:tr>
        <w:trPr>
          <w:cantSplit w:val="0"/>
          <w:trHeight w:val="315" w:hRule="atLeast"/>
          <w:tblHeader w:val="0"/>
        </w:trPr>
        <w:tc>
          <w:tcPr/>
          <w:p w:rsidR="00000000" w:rsidDel="00000000" w:rsidP="00000000" w:rsidRDefault="00000000" w:rsidRPr="00000000" w14:paraId="00000029">
            <w:pPr>
              <w:numPr>
                <w:ilvl w:val="0"/>
                <w:numId w:val="4"/>
              </w:numPr>
              <w:ind w:left="425.19685039370086" w:right="88.93700787401599" w:hanging="283.46456692913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compromisos acta anterior.</w:t>
            </w:r>
          </w:p>
        </w:tc>
      </w:tr>
      <w:tr>
        <w:trPr>
          <w:cantSplit w:val="0"/>
          <w:tblHeader w:val="0"/>
        </w:trPr>
        <w:tc>
          <w:tcPr/>
          <w:p w:rsidR="00000000" w:rsidDel="00000000" w:rsidP="00000000" w:rsidRDefault="00000000" w:rsidRPr="00000000" w14:paraId="0000002A">
            <w:pPr>
              <w:numPr>
                <w:ilvl w:val="0"/>
                <w:numId w:val="4"/>
              </w:numPr>
              <w:ind w:left="425.19685039370086" w:right="88.93700787401599" w:hanging="28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Sensibilización y revisión de autoevaluación</w:t>
            </w:r>
          </w:p>
        </w:tc>
      </w:tr>
      <w:tr>
        <w:trPr>
          <w:cantSplit w:val="0"/>
          <w:tblHeader w:val="0"/>
        </w:trPr>
        <w:tc>
          <w:tcPr/>
          <w:p w:rsidR="00000000" w:rsidDel="00000000" w:rsidP="00000000" w:rsidRDefault="00000000" w:rsidRPr="00000000" w14:paraId="0000002B">
            <w:pPr>
              <w:numPr>
                <w:ilvl w:val="0"/>
                <w:numId w:val="4"/>
              </w:numPr>
              <w:ind w:left="425.19685039370086" w:right="88.93700787401599" w:hanging="28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Proposiciones, compromisos y varios</w:t>
            </w:r>
          </w:p>
        </w:tc>
      </w:tr>
      <w:tr>
        <w:trPr>
          <w:cantSplit w:val="0"/>
          <w:tblHeader w:val="0"/>
        </w:trPr>
        <w:tc>
          <w:tcPr/>
          <w:p w:rsidR="00000000" w:rsidDel="00000000" w:rsidP="00000000" w:rsidRDefault="00000000" w:rsidRPr="00000000" w14:paraId="0000002C">
            <w:pPr>
              <w:ind w:left="425.19685039370086" w:right="88.93700787401599" w:hanging="28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Cierre de comité</w:t>
            </w:r>
          </w:p>
        </w:tc>
      </w:tr>
    </w:tbl>
    <w:p w:rsidR="00000000" w:rsidDel="00000000" w:rsidP="00000000" w:rsidRDefault="00000000" w:rsidRPr="00000000" w14:paraId="0000002D">
      <w:pPr>
        <w:ind w:hanging="2"/>
        <w:jc w:val="both"/>
        <w:rPr>
          <w:rFonts w:ascii="Arial" w:cs="Arial" w:eastAsia="Arial" w:hAnsi="Arial"/>
          <w:sz w:val="22"/>
          <w:szCs w:val="22"/>
        </w:rPr>
      </w:pPr>
      <w:r w:rsidDel="00000000" w:rsidR="00000000" w:rsidRPr="00000000">
        <w:rPr>
          <w:rtl w:val="0"/>
        </w:rPr>
      </w:r>
    </w:p>
    <w:tbl>
      <w:tblPr>
        <w:tblStyle w:val="Table4"/>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5"/>
        <w:gridCol w:w="705"/>
        <w:gridCol w:w="615"/>
        <w:tblGridChange w:id="0">
          <w:tblGrid>
            <w:gridCol w:w="8445"/>
            <w:gridCol w:w="705"/>
            <w:gridCol w:w="615"/>
          </w:tblGrid>
        </w:tblGridChange>
      </w:tblGrid>
      <w:tr>
        <w:trPr>
          <w:cantSplit w:val="0"/>
          <w:trHeight w:val="179" w:hRule="atLeast"/>
          <w:tblHeader w:val="0"/>
        </w:trPr>
        <w:tc>
          <w:tcPr>
            <w:vMerge w:val="restart"/>
            <w:vAlign w:val="center"/>
          </w:tcPr>
          <w:p w:rsidR="00000000" w:rsidDel="00000000" w:rsidP="00000000" w:rsidRDefault="00000000" w:rsidRPr="00000000" w14:paraId="0000002E">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F">
            <w:pPr>
              <w:spacing w:after="40" w:before="40" w:lineRule="auto"/>
              <w:ind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CUMPLIÓ</w:t>
            </w:r>
            <w:r w:rsidDel="00000000" w:rsidR="00000000" w:rsidRPr="00000000">
              <w:rPr>
                <w:rtl w:val="0"/>
              </w:rPr>
            </w:r>
          </w:p>
        </w:tc>
      </w:tr>
      <w:tr>
        <w:trPr>
          <w:cantSplit w:val="0"/>
          <w:trHeight w:val="238" w:hRule="atLeast"/>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2">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3">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4">
            <w:pPr>
              <w:numPr>
                <w:ilvl w:val="0"/>
                <w:numId w:val="3"/>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Realizar autoevaluación cualitativa PAMEC.</w:t>
            </w:r>
          </w:p>
        </w:tc>
        <w:tc>
          <w:tcPr>
            <w:vAlign w:val="center"/>
          </w:tcPr>
          <w:p w:rsidR="00000000" w:rsidDel="00000000" w:rsidP="00000000" w:rsidRDefault="00000000" w:rsidRPr="00000000" w14:paraId="00000035">
            <w:pPr>
              <w:spacing w:after="40" w:before="40"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036">
            <w:pPr>
              <w:spacing w:after="40" w:before="40" w:lineRule="auto"/>
              <w:ind w:hanging="2"/>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7">
      <w:pPr>
        <w:ind w:hanging="2"/>
        <w:jc w:val="both"/>
        <w:rPr>
          <w:rFonts w:ascii="Arial" w:cs="Arial" w:eastAsia="Arial" w:hAnsi="Arial"/>
          <w:sz w:val="22"/>
          <w:szCs w:val="22"/>
        </w:rPr>
      </w:pPr>
      <w:r w:rsidDel="00000000" w:rsidR="00000000" w:rsidRPr="00000000">
        <w:rPr>
          <w:rtl w:val="0"/>
        </w:rPr>
      </w:r>
    </w:p>
    <w:tbl>
      <w:tblPr>
        <w:tblStyle w:val="Table5"/>
        <w:tblW w:w="9780.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p w:rsidR="00000000" w:rsidDel="00000000" w:rsidP="00000000" w:rsidRDefault="00000000" w:rsidRPr="00000000" w14:paraId="00000038">
            <w:pPr>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center" w:leader="none" w:pos="4252"/>
                <w:tab w:val="right" w:leader="none" w:pos="8504"/>
              </w:tabs>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tabs>
                <w:tab w:val="center" w:leader="none" w:pos="4252"/>
                <w:tab w:val="right" w:leader="none" w:pos="8504"/>
              </w:tabs>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Siendo las 8:00 am, se reúne el Comité de Calidad y equipo PAMEC 2025, en </w:t>
            </w:r>
            <w:r w:rsidDel="00000000" w:rsidR="00000000" w:rsidRPr="00000000">
              <w:rPr>
                <w:rFonts w:ascii="Arial" w:cs="Arial" w:eastAsia="Arial" w:hAnsi="Arial"/>
                <w:b w:val="1"/>
                <w:i w:val="1"/>
                <w:sz w:val="22"/>
                <w:szCs w:val="22"/>
                <w:rtl w:val="0"/>
              </w:rPr>
              <w:t xml:space="preserve">ENDOCRINOLOGY &amp; HEALTH </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B">
            <w:pPr>
              <w:tabs>
                <w:tab w:val="center" w:leader="none" w:pos="4252"/>
                <w:tab w:val="right" w:leader="none" w:pos="8504"/>
              </w:tabs>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tabs>
                <w:tab w:val="center" w:leader="none" w:pos="4252"/>
                <w:tab w:val="right" w:leader="none" w:pos="8504"/>
              </w:tabs>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reunión se inicia con un saludo a todos los presentes, se realiza la verificación del quórum y se da la bienvenida a los integrantes que no habían hecho parte del comité. </w:t>
            </w:r>
          </w:p>
          <w:p w:rsidR="00000000" w:rsidDel="00000000" w:rsidP="00000000" w:rsidRDefault="00000000" w:rsidRPr="00000000" w14:paraId="0000003D">
            <w:pPr>
              <w:tabs>
                <w:tab w:val="center" w:leader="none" w:pos="4252"/>
                <w:tab w:val="right" w:leader="none" w:pos="8504"/>
              </w:tabs>
              <w:spacing w:after="240" w:before="24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Avanzar con la implementación del Programa de Auditoría para el Mejoramiento de la Calidad de la Atención en Salud (PAMEC), específicamente mediante la realización de la </w:t>
            </w:r>
            <w:r w:rsidDel="00000000" w:rsidR="00000000" w:rsidRPr="00000000">
              <w:rPr>
                <w:rFonts w:ascii="Arial" w:cs="Arial" w:eastAsia="Arial" w:hAnsi="Arial"/>
                <w:b w:val="1"/>
                <w:sz w:val="22"/>
                <w:szCs w:val="22"/>
                <w:rtl w:val="0"/>
              </w:rPr>
              <w:t xml:space="preserve">autoevaluación cualitativa</w:t>
            </w:r>
            <w:r w:rsidDel="00000000" w:rsidR="00000000" w:rsidRPr="00000000">
              <w:rPr>
                <w:rFonts w:ascii="Arial" w:cs="Arial" w:eastAsia="Arial" w:hAnsi="Arial"/>
                <w:sz w:val="22"/>
                <w:szCs w:val="22"/>
                <w:rtl w:val="0"/>
              </w:rPr>
              <w:t xml:space="preserve"> y el desarrollo del </w:t>
            </w:r>
            <w:r w:rsidDel="00000000" w:rsidR="00000000" w:rsidRPr="00000000">
              <w:rPr>
                <w:rFonts w:ascii="Arial" w:cs="Arial" w:eastAsia="Arial" w:hAnsi="Arial"/>
                <w:b w:val="1"/>
                <w:sz w:val="22"/>
                <w:szCs w:val="22"/>
                <w:rtl w:val="0"/>
              </w:rPr>
              <w:t xml:space="preserve">paso 2 de la Ruta Crítica</w:t>
            </w:r>
            <w:r w:rsidDel="00000000" w:rsidR="00000000" w:rsidRPr="00000000">
              <w:rPr>
                <w:rFonts w:ascii="Arial" w:cs="Arial" w:eastAsia="Arial" w:hAnsi="Arial"/>
                <w:sz w:val="22"/>
                <w:szCs w:val="22"/>
                <w:rtl w:val="0"/>
              </w:rPr>
              <w:t xml:space="preserve">, correspondiente a la identificación de fortalezas, soportes y oportunidades de mejora, así como la clasificación de los procesos evaluados.</w:t>
            </w:r>
          </w:p>
          <w:p w:rsidR="00000000" w:rsidDel="00000000" w:rsidP="00000000" w:rsidRDefault="00000000" w:rsidRPr="00000000" w14:paraId="0000003E">
            <w:pPr>
              <w:pStyle w:val="Heading3"/>
              <w:keepNext w:val="0"/>
              <w:keepLines w:val="0"/>
              <w:tabs>
                <w:tab w:val="center" w:leader="none" w:pos="4252"/>
                <w:tab w:val="right" w:leader="none" w:pos="8504"/>
              </w:tabs>
              <w:ind w:firstLine="0"/>
              <w:jc w:val="both"/>
              <w:rPr>
                <w:rFonts w:ascii="Arial" w:cs="Arial" w:eastAsia="Arial" w:hAnsi="Arial"/>
                <w:sz w:val="22"/>
                <w:szCs w:val="22"/>
              </w:rPr>
            </w:pPr>
            <w:bookmarkStart w:colFirst="0" w:colLast="0" w:name="_heading=h.vlnttcto1mew" w:id="0"/>
            <w:bookmarkEnd w:id="0"/>
            <w:r w:rsidDel="00000000" w:rsidR="00000000" w:rsidRPr="00000000">
              <w:rPr>
                <w:rFonts w:ascii="Arial" w:cs="Arial" w:eastAsia="Arial" w:hAnsi="Arial"/>
                <w:sz w:val="22"/>
                <w:szCs w:val="22"/>
                <w:rtl w:val="0"/>
              </w:rPr>
              <w:t xml:space="preserve">TEMAS DESARROLLADOS</w:t>
            </w:r>
          </w:p>
          <w:p w:rsidR="00000000" w:rsidDel="00000000" w:rsidP="00000000" w:rsidRDefault="00000000" w:rsidRPr="00000000" w14:paraId="0000003F">
            <w:pPr>
              <w:pStyle w:val="Heading4"/>
              <w:keepNext w:val="0"/>
              <w:keepLines w:val="0"/>
              <w:numPr>
                <w:ilvl w:val="0"/>
                <w:numId w:val="6"/>
              </w:numPr>
              <w:tabs>
                <w:tab w:val="center" w:leader="none" w:pos="4252"/>
                <w:tab w:val="right" w:leader="none" w:pos="8504"/>
              </w:tabs>
              <w:ind w:left="720" w:hanging="360"/>
              <w:jc w:val="both"/>
              <w:rPr>
                <w:rFonts w:ascii="Arial" w:cs="Arial" w:eastAsia="Arial" w:hAnsi="Arial"/>
                <w:sz w:val="22"/>
                <w:szCs w:val="22"/>
                <w:u w:val="none"/>
              </w:rPr>
            </w:pPr>
            <w:bookmarkStart w:colFirst="0" w:colLast="0" w:name="_heading=h.bqkcy684bvsp" w:id="1"/>
            <w:bookmarkEnd w:id="1"/>
            <w:r w:rsidDel="00000000" w:rsidR="00000000" w:rsidRPr="00000000">
              <w:rPr>
                <w:rFonts w:ascii="Arial" w:cs="Arial" w:eastAsia="Arial" w:hAnsi="Arial"/>
                <w:sz w:val="22"/>
                <w:szCs w:val="22"/>
                <w:rtl w:val="0"/>
              </w:rPr>
              <w:t xml:space="preserve">Autoevaluación cualitativa de los procesos</w:t>
            </w:r>
            <w:r w:rsidDel="00000000" w:rsidR="00000000" w:rsidRPr="00000000">
              <w:rPr>
                <w:rtl w:val="0"/>
              </w:rPr>
            </w:r>
          </w:p>
          <w:p w:rsidR="00000000" w:rsidDel="00000000" w:rsidP="00000000" w:rsidRDefault="00000000" w:rsidRPr="00000000" w14:paraId="00000040">
            <w:pPr>
              <w:tabs>
                <w:tab w:val="center" w:leader="none" w:pos="4252"/>
                <w:tab w:val="right" w:leader="none" w:pos="8504"/>
              </w:tabs>
              <w:spacing w:after="240" w:before="24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la reunión se realizó la evaluación cualitativa de los procesos previamente abordados en la autoevaluación cuantitativa del mes anterior. Esta fase permitió complementar el análisis con la identificación de fortalezas institucionales, su respectivo soporte documental o práctico, y las oportunidades de mejora observadas en el contexto real de atención.</w:t>
            </w:r>
          </w:p>
          <w:p w:rsidR="00000000" w:rsidDel="00000000" w:rsidP="00000000" w:rsidRDefault="00000000" w:rsidRPr="00000000" w14:paraId="00000041">
            <w:pPr>
              <w:tabs>
                <w:tab w:val="center" w:leader="none" w:pos="4252"/>
                <w:tab w:val="right" w:leader="none" w:pos="8504"/>
              </w:tabs>
              <w:spacing w:after="240" w:before="24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evaluaron los siguientes aspectos cualitativos por cada proceso:</w:t>
            </w:r>
          </w:p>
          <w:p w:rsidR="00000000" w:rsidDel="00000000" w:rsidP="00000000" w:rsidRDefault="00000000" w:rsidRPr="00000000" w14:paraId="00000042">
            <w:pPr>
              <w:numPr>
                <w:ilvl w:val="0"/>
                <w:numId w:val="2"/>
              </w:numPr>
              <w:tabs>
                <w:tab w:val="center" w:leader="none" w:pos="4252"/>
                <w:tab w:val="right" w:leader="none" w:pos="8504"/>
              </w:tabs>
              <w:spacing w:after="0" w:befor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Fortalezas: prácticas positivas, capacidades institucionales y recursos efectivos en el marco de la atención segura.</w:t>
              <w:br w:type="textWrapping"/>
            </w:r>
          </w:p>
          <w:p w:rsidR="00000000" w:rsidDel="00000000" w:rsidP="00000000" w:rsidRDefault="00000000" w:rsidRPr="00000000" w14:paraId="00000043">
            <w:pPr>
              <w:numPr>
                <w:ilvl w:val="0"/>
                <w:numId w:val="2"/>
              </w:numPr>
              <w:tabs>
                <w:tab w:val="center" w:leader="none" w:pos="4252"/>
                <w:tab w:val="right" w:leader="none" w:pos="8504"/>
              </w:tabs>
              <w:spacing w:after="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Soportes de la fortaleza: evidencia tangible como protocolos, registros, formatos, registros de capacitación, buenas prácticas en campo, entre otros.</w:t>
              <w:br w:type="textWrapping"/>
            </w:r>
          </w:p>
          <w:p w:rsidR="00000000" w:rsidDel="00000000" w:rsidP="00000000" w:rsidRDefault="00000000" w:rsidRPr="00000000" w14:paraId="00000044">
            <w:pPr>
              <w:numPr>
                <w:ilvl w:val="0"/>
                <w:numId w:val="2"/>
              </w:numPr>
              <w:tabs>
                <w:tab w:val="center" w:leader="none" w:pos="4252"/>
                <w:tab w:val="right" w:leader="none" w:pos="8504"/>
              </w:tabs>
              <w:spacing w:after="240" w:before="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Oportunidades de mejora: elementos o acciones que no se están desarrollando de manera óptima, que requieren fortalecimiento o implementación.</w:t>
            </w:r>
          </w:p>
          <w:p w:rsidR="00000000" w:rsidDel="00000000" w:rsidP="00000000" w:rsidRDefault="00000000" w:rsidRPr="00000000" w14:paraId="00000045">
            <w:pPr>
              <w:tabs>
                <w:tab w:val="center" w:leader="none" w:pos="4252"/>
                <w:tab w:val="right" w:leader="none" w:pos="8504"/>
              </w:tabs>
              <w:spacing w:after="240" w:before="24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procesos evaluados cualitativamente fueron:</w:t>
            </w:r>
          </w:p>
          <w:p w:rsidR="00000000" w:rsidDel="00000000" w:rsidP="00000000" w:rsidRDefault="00000000" w:rsidRPr="00000000" w14:paraId="00000046">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4.1.1  Contar con un Programa de Seguridad del Paciente que provea una adecuada caja de herramientas para la identificación y gestión de eventos adversos</w:t>
            </w:r>
          </w:p>
          <w:p w:rsidR="00000000" w:rsidDel="00000000" w:rsidP="00000000" w:rsidRDefault="00000000" w:rsidRPr="00000000" w14:paraId="00000047">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4.1.2  Brindar capacitación al cliente interno en los aspectos relevantes de la seguridad en los procesos a su cargo</w:t>
            </w:r>
          </w:p>
          <w:p w:rsidR="00000000" w:rsidDel="00000000" w:rsidP="00000000" w:rsidRDefault="00000000" w:rsidRPr="00000000" w14:paraId="00000048">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4.1.3 Coordinar procedimientos y acciones recíprocas de los programas de seguridad del paciente entre asegurador y prestador</w:t>
            </w:r>
          </w:p>
          <w:p w:rsidR="00000000" w:rsidDel="00000000" w:rsidP="00000000" w:rsidRDefault="00000000" w:rsidRPr="00000000" w14:paraId="00000049">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4.1.4 Estandarización de procedimientos de atención </w:t>
            </w:r>
          </w:p>
          <w:p w:rsidR="00000000" w:rsidDel="00000000" w:rsidP="00000000" w:rsidRDefault="00000000" w:rsidRPr="00000000" w14:paraId="0000004A">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4.1.5 Evaluar la frecuencia con la cual ocurren los eventos adversos</w:t>
            </w:r>
          </w:p>
          <w:p w:rsidR="00000000" w:rsidDel="00000000" w:rsidP="00000000" w:rsidRDefault="00000000" w:rsidRPr="00000000" w14:paraId="0000004B">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4.1.6  La institución debe monitorizar aspectos claves relacionados con la seguridad del paciente</w:t>
            </w:r>
          </w:p>
          <w:p w:rsidR="00000000" w:rsidDel="00000000" w:rsidP="00000000" w:rsidRDefault="00000000" w:rsidRPr="00000000" w14:paraId="0000004C">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4.1.7 Implementar equipos de respuesta rápida (según nivel de complejidad)</w:t>
            </w:r>
          </w:p>
          <w:p w:rsidR="00000000" w:rsidDel="00000000" w:rsidP="00000000" w:rsidRDefault="00000000" w:rsidRPr="00000000" w14:paraId="0000004D">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4.1.8 Procurar la seguridad en el ambiente físico y la tecnología en salud</w:t>
            </w:r>
          </w:p>
          <w:p w:rsidR="00000000" w:rsidDel="00000000" w:rsidP="00000000" w:rsidRDefault="00000000" w:rsidRPr="00000000" w14:paraId="0000004E">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4.1.9 Utilizar y/o desarrollar software para disminuir el riesgo en la prestación del servicio</w:t>
            </w:r>
          </w:p>
          <w:p w:rsidR="00000000" w:rsidDel="00000000" w:rsidP="00000000" w:rsidRDefault="00000000" w:rsidRPr="00000000" w14:paraId="0000004F">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4.2.1 Detectar, prevenir y reducir el riesgo de infecciones asociadas con la atención en salud</w:t>
            </w:r>
          </w:p>
          <w:p w:rsidR="00000000" w:rsidDel="00000000" w:rsidP="00000000" w:rsidRDefault="00000000" w:rsidRPr="00000000" w14:paraId="00000050">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4.2.3 Procesos para la prevención y reducción de la frecuencia de caídas</w:t>
            </w:r>
          </w:p>
          <w:p w:rsidR="00000000" w:rsidDel="00000000" w:rsidP="00000000" w:rsidRDefault="00000000" w:rsidRPr="00000000" w14:paraId="00000051">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4.2.7  Asegurar la correcta identificación del paciente en los procesos asistenciales </w:t>
            </w:r>
          </w:p>
          <w:p w:rsidR="00000000" w:rsidDel="00000000" w:rsidP="00000000" w:rsidRDefault="00000000" w:rsidRPr="00000000" w14:paraId="00000052">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4.3.1 Gestionar y desarrollar la adecuada comunicación entre las personas que atienden y cuidan a los Pacientes</w:t>
            </w:r>
          </w:p>
          <w:p w:rsidR="00000000" w:rsidDel="00000000" w:rsidP="00000000" w:rsidRDefault="00000000" w:rsidRPr="00000000" w14:paraId="00000053">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4.3.2. Prevenir el cansancio del personal de salud </w:t>
            </w:r>
          </w:p>
          <w:p w:rsidR="00000000" w:rsidDel="00000000" w:rsidP="00000000" w:rsidRDefault="00000000" w:rsidRPr="00000000" w14:paraId="00000054">
            <w:pPr>
              <w:numPr>
                <w:ilvl w:val="0"/>
                <w:numId w:val="1"/>
              </w:numPr>
              <w:tabs>
                <w:tab w:val="center" w:leader="none" w:pos="4252"/>
                <w:tab w:val="right" w:leader="none" w:pos="8504"/>
              </w:tabs>
              <w:spacing w:after="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4.3.3 Garantizar la funcionalidad de los procedimientos de Consentimiento Informado </w:t>
            </w:r>
          </w:p>
          <w:p w:rsidR="00000000" w:rsidDel="00000000" w:rsidP="00000000" w:rsidRDefault="00000000" w:rsidRPr="00000000" w14:paraId="00000055">
            <w:pPr>
              <w:numPr>
                <w:ilvl w:val="0"/>
                <w:numId w:val="1"/>
              </w:numPr>
              <w:tabs>
                <w:tab w:val="center" w:leader="none" w:pos="4252"/>
                <w:tab w:val="right" w:leader="none" w:pos="8504"/>
              </w:tabs>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4.3.4 Desarrollar procesos de capacitación permanente al cliente interno en los aspectos relevantes de la seguridad del paciente</w:t>
              <w:br w:type="textWrapping"/>
            </w:r>
          </w:p>
          <w:p w:rsidR="00000000" w:rsidDel="00000000" w:rsidP="00000000" w:rsidRDefault="00000000" w:rsidRPr="00000000" w14:paraId="00000056">
            <w:pPr>
              <w:pStyle w:val="Heading4"/>
              <w:keepNext w:val="0"/>
              <w:keepLines w:val="0"/>
              <w:tabs>
                <w:tab w:val="center" w:leader="none" w:pos="4252"/>
                <w:tab w:val="right" w:leader="none" w:pos="8504"/>
              </w:tabs>
              <w:ind w:firstLine="0"/>
              <w:jc w:val="both"/>
              <w:rPr>
                <w:rFonts w:ascii="Arial" w:cs="Arial" w:eastAsia="Arial" w:hAnsi="Arial"/>
                <w:sz w:val="22"/>
                <w:szCs w:val="22"/>
              </w:rPr>
            </w:pPr>
            <w:bookmarkStart w:colFirst="0" w:colLast="0" w:name="_heading=h.ol9biexh5nio" w:id="2"/>
            <w:bookmarkEnd w:id="2"/>
            <w:r w:rsidDel="00000000" w:rsidR="00000000" w:rsidRPr="00000000">
              <w:rPr>
                <w:rFonts w:ascii="Arial" w:cs="Arial" w:eastAsia="Arial" w:hAnsi="Arial"/>
                <w:sz w:val="22"/>
                <w:szCs w:val="22"/>
                <w:rtl w:val="0"/>
              </w:rPr>
              <w:t xml:space="preserve">2. Clasificación de procesos</w:t>
            </w:r>
          </w:p>
          <w:p w:rsidR="00000000" w:rsidDel="00000000" w:rsidP="00000000" w:rsidRDefault="00000000" w:rsidRPr="00000000" w14:paraId="00000057">
            <w:pPr>
              <w:tabs>
                <w:tab w:val="center" w:leader="none" w:pos="4252"/>
                <w:tab w:val="right" w:leader="none" w:pos="8504"/>
              </w:tabs>
              <w:spacing w:after="240" w:before="24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base en la naturaleza de cada proceso y su impacto dentro del modelo de atención de la IPS con su mapa de procesos, se clasificaron según su tipo:</w:t>
            </w:r>
          </w:p>
          <w:p w:rsidR="00000000" w:rsidDel="00000000" w:rsidP="00000000" w:rsidRDefault="00000000" w:rsidRPr="00000000" w14:paraId="00000058">
            <w:pPr>
              <w:numPr>
                <w:ilvl w:val="0"/>
                <w:numId w:val="7"/>
              </w:numPr>
              <w:tabs>
                <w:tab w:val="center" w:leader="none" w:pos="4252"/>
                <w:tab w:val="right" w:leader="none" w:pos="8504"/>
              </w:tabs>
              <w:spacing w:after="0" w:befor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Procesos estratégicos:</w:t>
            </w:r>
            <w:r w:rsidDel="00000000" w:rsidR="00000000" w:rsidRPr="00000000">
              <w:rPr>
                <w:rFonts w:ascii="Arial" w:cs="Arial" w:eastAsia="Arial" w:hAnsi="Arial"/>
                <w:sz w:val="22"/>
                <w:szCs w:val="22"/>
                <w:rtl w:val="0"/>
              </w:rPr>
              <w:t xml:space="preserve"> orientan el funcionamiento general de la organización y su dirección en temas de calidad.</w:t>
              <w:br w:type="textWrapping"/>
            </w:r>
          </w:p>
          <w:p w:rsidR="00000000" w:rsidDel="00000000" w:rsidP="00000000" w:rsidRDefault="00000000" w:rsidRPr="00000000" w14:paraId="00000059">
            <w:pPr>
              <w:numPr>
                <w:ilvl w:val="0"/>
                <w:numId w:val="7"/>
              </w:numPr>
              <w:tabs>
                <w:tab w:val="center" w:leader="none" w:pos="4252"/>
                <w:tab w:val="right" w:leader="none" w:pos="8504"/>
              </w:tabs>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Procesos misionales:</w:t>
            </w:r>
            <w:r w:rsidDel="00000000" w:rsidR="00000000" w:rsidRPr="00000000">
              <w:rPr>
                <w:rFonts w:ascii="Arial" w:cs="Arial" w:eastAsia="Arial" w:hAnsi="Arial"/>
                <w:sz w:val="22"/>
                <w:szCs w:val="22"/>
                <w:rtl w:val="0"/>
              </w:rPr>
              <w:t xml:space="preserve"> están directamente vinculados a la prestación del servicio y la experiencia del paciente.</w:t>
              <w:br w:type="textWrapping"/>
            </w:r>
          </w:p>
          <w:p w:rsidR="00000000" w:rsidDel="00000000" w:rsidP="00000000" w:rsidRDefault="00000000" w:rsidRPr="00000000" w14:paraId="0000005A">
            <w:pPr>
              <w:numPr>
                <w:ilvl w:val="0"/>
                <w:numId w:val="7"/>
              </w:numPr>
              <w:tabs>
                <w:tab w:val="center" w:leader="none" w:pos="4252"/>
                <w:tab w:val="right" w:leader="none" w:pos="8504"/>
              </w:tabs>
              <w:spacing w:after="240" w:before="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Procesos de apoyo:</w:t>
            </w:r>
            <w:r w:rsidDel="00000000" w:rsidR="00000000" w:rsidRPr="00000000">
              <w:rPr>
                <w:rFonts w:ascii="Arial" w:cs="Arial" w:eastAsia="Arial" w:hAnsi="Arial"/>
                <w:sz w:val="22"/>
                <w:szCs w:val="22"/>
                <w:rtl w:val="0"/>
              </w:rPr>
              <w:t xml:space="preserve"> respaldan el cumplimiento de las actividades asistenciales y administrativas.</w:t>
            </w:r>
          </w:p>
          <w:p w:rsidR="00000000" w:rsidDel="00000000" w:rsidP="00000000" w:rsidRDefault="00000000" w:rsidRPr="00000000" w14:paraId="0000005B">
            <w:pPr>
              <w:tabs>
                <w:tab w:val="center" w:leader="none" w:pos="4252"/>
                <w:tab w:val="right" w:leader="none" w:pos="8504"/>
              </w:tabs>
              <w:spacing w:after="240" w:before="24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clasificación servirá como insumo para el siguiente paso de la Ruta Crítica (paso 3), correspondiente a la priorización de procesos a mejorar, en función de variables como riesgo, costo y volumen.                                                                                                                                                                    </w:t>
            </w:r>
          </w:p>
          <w:p w:rsidR="00000000" w:rsidDel="00000000" w:rsidP="00000000" w:rsidRDefault="00000000" w:rsidRPr="00000000" w14:paraId="0000005C">
            <w:pPr>
              <w:tabs>
                <w:tab w:val="center" w:leader="none" w:pos="4252"/>
                <w:tab w:val="right" w:leader="none" w:pos="8504"/>
              </w:tabs>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Siendo las 10:15 am se da por terminada el comité de calidad</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firstLine="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E">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6"/>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5"/>
        <w:gridCol w:w="2325"/>
        <w:gridCol w:w="2265"/>
        <w:tblGridChange w:id="0">
          <w:tblGrid>
            <w:gridCol w:w="5175"/>
            <w:gridCol w:w="2325"/>
            <w:gridCol w:w="2265"/>
          </w:tblGrid>
        </w:tblGridChange>
      </w:tblGrid>
      <w:tr>
        <w:trPr>
          <w:cantSplit w:val="0"/>
          <w:trHeight w:val="472" w:hRule="atLeast"/>
          <w:tblHeader w:val="0"/>
        </w:trPr>
        <w:tc>
          <w:tcPr>
            <w:vAlign w:val="center"/>
          </w:tcPr>
          <w:p w:rsidR="00000000" w:rsidDel="00000000" w:rsidP="00000000" w:rsidRDefault="00000000" w:rsidRPr="00000000" w14:paraId="0000005F">
            <w:pPr>
              <w:spacing w:after="40" w:before="40" w:lineRule="auto"/>
              <w:ind w:left="0"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60">
            <w:pPr>
              <w:spacing w:after="40" w:before="40" w:lineRule="auto"/>
              <w:ind w:left="0"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61">
            <w:pPr>
              <w:spacing w:after="40" w:before="40" w:lineRule="auto"/>
              <w:ind w:left="0"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62">
            <w:pPr>
              <w:numPr>
                <w:ilvl w:val="0"/>
                <w:numId w:val="5"/>
              </w:numPr>
              <w:spacing w:after="40" w:before="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Realizar autoevaluación cualitativa PAMEC.</w:t>
            </w:r>
          </w:p>
        </w:tc>
        <w:tc>
          <w:tcPr>
            <w:vAlign w:val="center"/>
          </w:tcPr>
          <w:p w:rsidR="00000000" w:rsidDel="00000000" w:rsidP="00000000" w:rsidRDefault="00000000" w:rsidRPr="00000000" w14:paraId="00000063">
            <w:pPr>
              <w:spacing w:after="40" w:before="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Asesor de calidad</w:t>
            </w:r>
          </w:p>
        </w:tc>
        <w:tc>
          <w:tcPr>
            <w:vAlign w:val="center"/>
          </w:tcPr>
          <w:p w:rsidR="00000000" w:rsidDel="00000000" w:rsidP="00000000" w:rsidRDefault="00000000" w:rsidRPr="00000000" w14:paraId="00000064">
            <w:pPr>
              <w:spacing w:after="40" w:before="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Abril 2025</w:t>
            </w:r>
          </w:p>
        </w:tc>
      </w:tr>
    </w:tbl>
    <w:p w:rsidR="00000000" w:rsidDel="00000000" w:rsidP="00000000" w:rsidRDefault="00000000" w:rsidRPr="00000000" w14:paraId="00000065">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line="276" w:lineRule="auto"/>
        <w:ind w:hanging="2"/>
        <w:jc w:val="both"/>
        <w:rPr>
          <w:rFonts w:ascii="Arial" w:cs="Arial" w:eastAsia="Arial" w:hAnsi="Arial"/>
          <w:sz w:val="22"/>
          <w:szCs w:val="22"/>
        </w:rPr>
      </w:pPr>
      <w:r w:rsidDel="00000000" w:rsidR="00000000" w:rsidRPr="00000000">
        <w:rPr>
          <w:rtl w:val="0"/>
        </w:rPr>
      </w:r>
    </w:p>
    <w:tbl>
      <w:tblPr>
        <w:tblStyle w:val="Table7"/>
        <w:tblW w:w="9765.0" w:type="dxa"/>
        <w:jc w:val="left"/>
        <w:tblInd w:w="-4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30"/>
        <w:gridCol w:w="3375"/>
        <w:tblGridChange w:id="0">
          <w:tblGrid>
            <w:gridCol w:w="3360"/>
            <w:gridCol w:w="3030"/>
            <w:gridCol w:w="3375"/>
          </w:tblGrid>
        </w:tblGridChange>
      </w:tblGrid>
      <w:tr>
        <w:trPr>
          <w:cantSplit w:val="0"/>
          <w:tblHeader w:val="0"/>
        </w:trPr>
        <w:tc>
          <w:tcPr>
            <w:gridSpan w:val="3"/>
          </w:tcPr>
          <w:p w:rsidR="00000000" w:rsidDel="00000000" w:rsidP="00000000" w:rsidRDefault="00000000" w:rsidRPr="00000000" w14:paraId="00000067">
            <w:pPr>
              <w:spacing w:line="276"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ASISTENTES A LA REUNIÓN</w:t>
            </w:r>
            <w:r w:rsidDel="00000000" w:rsidR="00000000" w:rsidRPr="00000000">
              <w:rPr>
                <w:rtl w:val="0"/>
              </w:rPr>
            </w:r>
          </w:p>
        </w:tc>
      </w:tr>
      <w:tr>
        <w:trPr>
          <w:cantSplit w:val="0"/>
          <w:tblHeader w:val="0"/>
        </w:trPr>
        <w:tc>
          <w:tcPr/>
          <w:p w:rsidR="00000000" w:rsidDel="00000000" w:rsidP="00000000" w:rsidRDefault="00000000" w:rsidRPr="00000000" w14:paraId="0000006A">
            <w:pPr>
              <w:spacing w:line="276"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NOMBRES Y APELLIDOS</w:t>
            </w:r>
            <w:r w:rsidDel="00000000" w:rsidR="00000000" w:rsidRPr="00000000">
              <w:rPr>
                <w:rtl w:val="0"/>
              </w:rPr>
            </w:r>
          </w:p>
        </w:tc>
        <w:tc>
          <w:tcPr/>
          <w:p w:rsidR="00000000" w:rsidDel="00000000" w:rsidP="00000000" w:rsidRDefault="00000000" w:rsidRPr="00000000" w14:paraId="0000006B">
            <w:pPr>
              <w:spacing w:line="276"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CARGO</w:t>
            </w:r>
            <w:r w:rsidDel="00000000" w:rsidR="00000000" w:rsidRPr="00000000">
              <w:rPr>
                <w:rtl w:val="0"/>
              </w:rPr>
            </w:r>
          </w:p>
        </w:tc>
        <w:tc>
          <w:tcPr/>
          <w:p w:rsidR="00000000" w:rsidDel="00000000" w:rsidP="00000000" w:rsidRDefault="00000000" w:rsidRPr="00000000" w14:paraId="0000006C">
            <w:pPr>
              <w:spacing w:line="276" w:lineRule="auto"/>
              <w:ind w:hanging="2"/>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FIRMA</w:t>
            </w:r>
            <w:r w:rsidDel="00000000" w:rsidR="00000000" w:rsidRPr="00000000">
              <w:rPr>
                <w:rtl w:val="0"/>
              </w:rPr>
            </w:r>
          </w:p>
        </w:tc>
      </w:tr>
      <w:tr>
        <w:trPr>
          <w:cantSplit w:val="0"/>
          <w:trHeight w:val="675" w:hRule="atLeast"/>
          <w:tblHeader w:val="0"/>
        </w:trPr>
        <w:tc>
          <w:tcPr>
            <w:vAlign w:val="center"/>
          </w:tcPr>
          <w:p w:rsidR="00000000" w:rsidDel="00000000" w:rsidP="00000000" w:rsidRDefault="00000000" w:rsidRPr="00000000" w14:paraId="0000006D">
            <w:pPr>
              <w:spacing w:line="276" w:lineRule="auto"/>
              <w:ind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Carlos Javier Vizcaino</w:t>
            </w:r>
          </w:p>
        </w:tc>
        <w:tc>
          <w:tcPr>
            <w:vAlign w:val="center"/>
          </w:tcPr>
          <w:p w:rsidR="00000000" w:rsidDel="00000000" w:rsidP="00000000" w:rsidRDefault="00000000" w:rsidRPr="00000000" w14:paraId="0000006E">
            <w:pP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Gerente</w:t>
            </w:r>
          </w:p>
        </w:tc>
        <w:tc>
          <w:tcPr>
            <w:vAlign w:val="center"/>
          </w:tcPr>
          <w:p w:rsidR="00000000" w:rsidDel="00000000" w:rsidP="00000000" w:rsidRDefault="00000000" w:rsidRPr="00000000" w14:paraId="0000006F">
            <w:pPr>
              <w:spacing w:line="36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117517" cy="368412"/>
                  <wp:effectExtent b="0" l="0" r="0" t="0"/>
                  <wp:docPr id="107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117517" cy="368412"/>
                          </a:xfrm>
                          <a:prstGeom prst="rect"/>
                          <a:ln/>
                        </pic:spPr>
                      </pic:pic>
                    </a:graphicData>
                  </a:graphic>
                </wp:inline>
              </w:drawing>
            </w:r>
            <w:r w:rsidDel="00000000" w:rsidR="00000000" w:rsidRPr="00000000">
              <w:rPr>
                <w:rtl w:val="0"/>
              </w:rPr>
            </w:r>
          </w:p>
        </w:tc>
      </w:tr>
      <w:tr>
        <w:trPr>
          <w:cantSplit w:val="0"/>
          <w:trHeight w:val="675" w:hRule="atLeast"/>
          <w:tblHeader w:val="0"/>
        </w:trPr>
        <w:tc>
          <w:tcPr>
            <w:vAlign w:val="center"/>
          </w:tcPr>
          <w:p w:rsidR="00000000" w:rsidDel="00000000" w:rsidP="00000000" w:rsidRDefault="00000000" w:rsidRPr="00000000" w14:paraId="00000070">
            <w:pPr>
              <w:spacing w:line="276"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Melanie Veloza</w:t>
            </w:r>
          </w:p>
        </w:tc>
        <w:tc>
          <w:tcPr>
            <w:vAlign w:val="center"/>
          </w:tcPr>
          <w:p w:rsidR="00000000" w:rsidDel="00000000" w:rsidP="00000000" w:rsidRDefault="00000000" w:rsidRPr="00000000" w14:paraId="00000071">
            <w:pP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Auxiliar</w:t>
            </w:r>
          </w:p>
        </w:tc>
        <w:tc>
          <w:tcPr>
            <w:vAlign w:val="center"/>
          </w:tcPr>
          <w:p w:rsidR="00000000" w:rsidDel="00000000" w:rsidP="00000000" w:rsidRDefault="00000000" w:rsidRPr="00000000" w14:paraId="00000072">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332548" cy="352356"/>
                  <wp:effectExtent b="0" l="0" r="0" t="0"/>
                  <wp:docPr id="107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32548" cy="352356"/>
                          </a:xfrm>
                          <a:prstGeom prst="rect"/>
                          <a:ln/>
                        </pic:spPr>
                      </pic:pic>
                    </a:graphicData>
                  </a:graphic>
                </wp:inline>
              </w:drawing>
            </w:r>
            <w:r w:rsidDel="00000000" w:rsidR="00000000" w:rsidRPr="00000000">
              <w:rPr>
                <w:rtl w:val="0"/>
              </w:rPr>
            </w:r>
          </w:p>
        </w:tc>
      </w:tr>
      <w:tr>
        <w:trPr>
          <w:cantSplit w:val="0"/>
          <w:trHeight w:val="630" w:hRule="atLeast"/>
          <w:tblHeader w:val="0"/>
        </w:trPr>
        <w:tc>
          <w:tcPr>
            <w:vAlign w:val="center"/>
          </w:tcPr>
          <w:p w:rsidR="00000000" w:rsidDel="00000000" w:rsidP="00000000" w:rsidRDefault="00000000" w:rsidRPr="00000000" w14:paraId="00000073">
            <w:pPr>
              <w:spacing w:line="276"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Diana Valentina Bastidas </w:t>
            </w:r>
          </w:p>
        </w:tc>
        <w:tc>
          <w:tcPr>
            <w:vAlign w:val="center"/>
          </w:tcPr>
          <w:p w:rsidR="00000000" w:rsidDel="00000000" w:rsidP="00000000" w:rsidRDefault="00000000" w:rsidRPr="00000000" w14:paraId="00000074">
            <w:pPr>
              <w:spacing w:line="276"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Asesor Externo de Calidad</w:t>
            </w:r>
          </w:p>
        </w:tc>
        <w:tc>
          <w:tcPr/>
          <w:p w:rsidR="00000000" w:rsidDel="00000000" w:rsidP="00000000" w:rsidRDefault="00000000" w:rsidRPr="00000000" w14:paraId="00000075">
            <w:pPr>
              <w:spacing w:line="276" w:lineRule="auto"/>
              <w:ind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647825" cy="400050"/>
                  <wp:effectExtent b="0" l="0" r="0" t="0"/>
                  <wp:docPr id="107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47825" cy="40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spacing w:line="276" w:lineRule="auto"/>
        <w:ind w:hanging="2"/>
        <w:jc w:val="both"/>
        <w:rPr>
          <w:rFonts w:ascii="Century Gothic" w:cs="Century Gothic" w:eastAsia="Century Gothic" w:hAnsi="Century Gothic"/>
          <w:sz w:val="22"/>
          <w:szCs w:val="22"/>
        </w:rPr>
      </w:pPr>
      <w:r w:rsidDel="00000000" w:rsidR="00000000" w:rsidRPr="00000000">
        <w:rPr>
          <w:rtl w:val="0"/>
        </w:rPr>
      </w:r>
    </w:p>
    <w:sectPr>
      <w:headerReference r:id="rId10" w:type="default"/>
      <w:footerReference r:id="rId11"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Verdan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widowControl w:val="0"/>
      <w:spacing w:line="276" w:lineRule="auto"/>
      <w:ind w:hanging="2"/>
      <w:rPr/>
    </w:pPr>
    <w:r w:rsidDel="00000000" w:rsidR="00000000" w:rsidRPr="00000000">
      <w:rPr>
        <w:rtl w:val="0"/>
      </w:rPr>
    </w:r>
  </w:p>
  <w:sdt>
    <w:sdtPr>
      <w:lock w:val="contentLocked"/>
      <w:id w:val="1144921189"/>
      <w:tag w:val="goog_rdk_0"/>
    </w:sdtPr>
    <w:sdtContent>
      <w:tbl>
        <w:tblPr>
          <w:tblStyle w:val="Table9"/>
          <w:tblW w:w="9750.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130"/>
          <w:gridCol w:w="2340"/>
          <w:gridCol w:w="1425"/>
          <w:gridCol w:w="1980"/>
          <w:tblGridChange w:id="0">
            <w:tblGrid>
              <w:gridCol w:w="1875"/>
              <w:gridCol w:w="2130"/>
              <w:gridCol w:w="2340"/>
              <w:gridCol w:w="1425"/>
              <w:gridCol w:w="1980"/>
            </w:tblGrid>
          </w:tblGridChange>
        </w:tblGrid>
        <w:tr>
          <w:trPr>
            <w:cantSplit w:val="0"/>
            <w:tblHeader w:val="0"/>
          </w:trPr>
          <w:tc>
            <w:tcPr/>
            <w:p w:rsidR="00000000" w:rsidDel="00000000" w:rsidP="00000000" w:rsidRDefault="00000000" w:rsidRPr="00000000" w14:paraId="00000082">
              <w:pPr>
                <w:tabs>
                  <w:tab w:val="center" w:leader="none" w:pos="4252"/>
                  <w:tab w:val="right" w:leader="none" w:pos="8504"/>
                </w:tabs>
                <w:ind w:hanging="2"/>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Aprobado</w:t>
              </w:r>
            </w:p>
          </w:tc>
          <w:tc>
            <w:tcPr/>
            <w:p w:rsidR="00000000" w:rsidDel="00000000" w:rsidP="00000000" w:rsidRDefault="00000000" w:rsidRPr="00000000" w14:paraId="00000083">
              <w:pPr>
                <w:tabs>
                  <w:tab w:val="center" w:leader="none" w:pos="4252"/>
                  <w:tab w:val="right" w:leader="none" w:pos="8504"/>
                </w:tabs>
                <w:ind w:hanging="2"/>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Revisado</w:t>
              </w:r>
            </w:p>
          </w:tc>
          <w:tc>
            <w:tcPr/>
            <w:p w:rsidR="00000000" w:rsidDel="00000000" w:rsidP="00000000" w:rsidRDefault="00000000" w:rsidRPr="00000000" w14:paraId="00000084">
              <w:pPr>
                <w:tabs>
                  <w:tab w:val="center" w:leader="none" w:pos="4252"/>
                  <w:tab w:val="right" w:leader="none" w:pos="8504"/>
                </w:tabs>
                <w:ind w:hanging="2"/>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Elaborado</w:t>
              </w:r>
            </w:p>
          </w:tc>
          <w:tc>
            <w:tcPr/>
            <w:p w:rsidR="00000000" w:rsidDel="00000000" w:rsidP="00000000" w:rsidRDefault="00000000" w:rsidRPr="00000000" w14:paraId="00000085">
              <w:pPr>
                <w:tabs>
                  <w:tab w:val="center" w:leader="none" w:pos="4252"/>
                  <w:tab w:val="right" w:leader="none" w:pos="8504"/>
                </w:tabs>
                <w:ind w:hanging="2"/>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Actualización</w:t>
              </w:r>
            </w:p>
          </w:tc>
          <w:tc>
            <w:tcPr/>
            <w:p w:rsidR="00000000" w:rsidDel="00000000" w:rsidP="00000000" w:rsidRDefault="00000000" w:rsidRPr="00000000" w14:paraId="00000086">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07 de enero 2025</w:t>
              </w:r>
            </w:p>
          </w:tc>
        </w:tr>
        <w:tr>
          <w:trPr>
            <w:cantSplit w:val="0"/>
            <w:tblHeader w:val="0"/>
          </w:trPr>
          <w:tc>
            <w:tcPr>
              <w:vMerge w:val="restart"/>
            </w:tcPr>
            <w:p w:rsidR="00000000" w:rsidDel="00000000" w:rsidP="00000000" w:rsidRDefault="00000000" w:rsidRPr="00000000" w14:paraId="00000087">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Kelly Canacue</w:t>
              </w:r>
            </w:p>
            <w:p w:rsidR="00000000" w:rsidDel="00000000" w:rsidP="00000000" w:rsidRDefault="00000000" w:rsidRPr="00000000" w14:paraId="00000088">
              <w:pPr>
                <w:tabs>
                  <w:tab w:val="center" w:leader="none" w:pos="4252"/>
                  <w:tab w:val="right" w:leader="none" w:pos="8504"/>
                </w:tabs>
                <w:jc w:val="center"/>
                <w:rPr>
                  <w:rFonts w:ascii="Verdana" w:cs="Verdana" w:eastAsia="Verdana" w:hAnsi="Verdana"/>
                  <w:sz w:val="16"/>
                  <w:szCs w:val="16"/>
                </w:rPr>
              </w:pPr>
              <w:r w:rsidDel="00000000" w:rsidR="00000000" w:rsidRPr="00000000">
                <w:rPr>
                  <w:rFonts w:ascii="Verdana" w:cs="Verdana" w:eastAsia="Verdana" w:hAnsi="Verdana"/>
                  <w:sz w:val="14"/>
                  <w:szCs w:val="14"/>
                  <w:rtl w:val="0"/>
                </w:rPr>
                <w:t xml:space="preserve">Líder de calidad</w:t>
              </w:r>
              <w:r w:rsidDel="00000000" w:rsidR="00000000" w:rsidRPr="00000000">
                <w:rPr>
                  <w:rtl w:val="0"/>
                </w:rPr>
              </w:r>
            </w:p>
          </w:tc>
          <w:tc>
            <w:tcPr>
              <w:vMerge w:val="restart"/>
            </w:tcPr>
            <w:p w:rsidR="00000000" w:rsidDel="00000000" w:rsidP="00000000" w:rsidRDefault="00000000" w:rsidRPr="00000000" w14:paraId="00000089">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Kelly Canacue</w:t>
              </w:r>
            </w:p>
            <w:p w:rsidR="00000000" w:rsidDel="00000000" w:rsidP="00000000" w:rsidRDefault="00000000" w:rsidRPr="00000000" w14:paraId="0000008A">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Líder de calidad</w:t>
              </w:r>
            </w:p>
          </w:tc>
          <w:tc>
            <w:tcPr>
              <w:vMerge w:val="restart"/>
            </w:tcPr>
            <w:p w:rsidR="00000000" w:rsidDel="00000000" w:rsidP="00000000" w:rsidRDefault="00000000" w:rsidRPr="00000000" w14:paraId="0000008B">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Carlos Javier Vizcaino</w:t>
              </w:r>
            </w:p>
            <w:p w:rsidR="00000000" w:rsidDel="00000000" w:rsidP="00000000" w:rsidRDefault="00000000" w:rsidRPr="00000000" w14:paraId="0000008C">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Gerente</w:t>
              </w:r>
            </w:p>
          </w:tc>
          <w:tc>
            <w:tcPr/>
            <w:p w:rsidR="00000000" w:rsidDel="00000000" w:rsidP="00000000" w:rsidRDefault="00000000" w:rsidRPr="00000000" w14:paraId="0000008D">
              <w:pPr>
                <w:tabs>
                  <w:tab w:val="center" w:leader="none" w:pos="4252"/>
                  <w:tab w:val="right" w:leader="none" w:pos="8504"/>
                </w:tabs>
                <w:ind w:hanging="2"/>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Versión</w:t>
              </w:r>
            </w:p>
          </w:tc>
          <w:tc>
            <w:tcPr/>
            <w:p w:rsidR="00000000" w:rsidDel="00000000" w:rsidP="00000000" w:rsidRDefault="00000000" w:rsidRPr="00000000" w14:paraId="0000008E">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002</w:t>
              </w:r>
            </w:p>
          </w:tc>
        </w:tr>
        <w:tr>
          <w:trPr>
            <w:cantSplit w:val="0"/>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4"/>
                  <w:szCs w:val="14"/>
                </w:rPr>
              </w:pPr>
              <w:r w:rsidDel="00000000" w:rsidR="00000000" w:rsidRPr="00000000">
                <w:rPr>
                  <w:rtl w:val="0"/>
                </w:rPr>
              </w:r>
            </w:p>
          </w:tc>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4"/>
                  <w:szCs w:val="14"/>
                </w:rPr>
              </w:pPr>
              <w:r w:rsidDel="00000000" w:rsidR="00000000" w:rsidRPr="00000000">
                <w:rPr>
                  <w:rtl w:val="0"/>
                </w:rPr>
              </w:r>
            </w:p>
          </w:tc>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4"/>
                  <w:szCs w:val="14"/>
                </w:rPr>
              </w:pPr>
              <w:r w:rsidDel="00000000" w:rsidR="00000000" w:rsidRPr="00000000">
                <w:rPr>
                  <w:rtl w:val="0"/>
                </w:rPr>
              </w:r>
            </w:p>
          </w:tc>
          <w:tc>
            <w:tcPr/>
            <w:p w:rsidR="00000000" w:rsidDel="00000000" w:rsidP="00000000" w:rsidRDefault="00000000" w:rsidRPr="00000000" w14:paraId="00000092">
              <w:pPr>
                <w:tabs>
                  <w:tab w:val="center" w:leader="none" w:pos="4252"/>
                  <w:tab w:val="right" w:leader="none" w:pos="8504"/>
                </w:tabs>
                <w:ind w:hanging="2"/>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Página</w:t>
              </w:r>
            </w:p>
          </w:tc>
          <w:tc>
            <w:tcPr/>
            <w:p w:rsidR="00000000" w:rsidDel="00000000" w:rsidP="00000000" w:rsidRDefault="00000000" w:rsidRPr="00000000" w14:paraId="00000093">
              <w:pPr>
                <w:tabs>
                  <w:tab w:val="center" w:leader="none" w:pos="4252"/>
                  <w:tab w:val="right" w:leader="none" w:pos="8504"/>
                </w:tabs>
                <w:jc w:val="center"/>
                <w:rPr>
                  <w:rFonts w:ascii="Verdana" w:cs="Verdana" w:eastAsia="Verdana" w:hAnsi="Verdana"/>
                  <w:sz w:val="14"/>
                  <w:szCs w:val="14"/>
                </w:rPr>
              </w:pPr>
              <w:r w:rsidDel="00000000" w:rsidR="00000000" w:rsidRPr="00000000">
                <w:rPr>
                  <w:rFonts w:ascii="Verdana" w:cs="Verdana" w:eastAsia="Verdana" w:hAnsi="Verdana"/>
                  <w:sz w:val="14"/>
                  <w:szCs w:val="14"/>
                </w:rPr>
                <w:fldChar w:fldCharType="begin"/>
                <w:instrText xml:space="preserve">PAGE</w:instrText>
                <w:fldChar w:fldCharType="separate"/>
                <w:fldChar w:fldCharType="end"/>
              </w:r>
              <w:r w:rsidDel="00000000" w:rsidR="00000000" w:rsidRPr="00000000">
                <w:rPr>
                  <w:rFonts w:ascii="Verdana" w:cs="Verdana" w:eastAsia="Verdana" w:hAnsi="Verdana"/>
                  <w:sz w:val="14"/>
                  <w:szCs w:val="14"/>
                  <w:rtl w:val="0"/>
                </w:rPr>
                <w:t xml:space="preserve"> de </w:t>
              </w:r>
              <w:r w:rsidDel="00000000" w:rsidR="00000000" w:rsidRPr="00000000">
                <w:rPr>
                  <w:rFonts w:ascii="Verdana" w:cs="Verdana" w:eastAsia="Verdana" w:hAnsi="Verdana"/>
                  <w:sz w:val="14"/>
                  <w:szCs w:val="14"/>
                </w:rPr>
                <w:fldChar w:fldCharType="begin"/>
                <w:instrText xml:space="preserve">NUMPAGES</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094">
    <w:pPr>
      <w:tabs>
        <w:tab w:val="center" w:leader="none" w:pos="4252"/>
        <w:tab w:val="right" w:leader="none" w:pos="8504"/>
      </w:tabs>
      <w:ind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76" w:lineRule="auto"/>
      <w:ind w:left="0" w:hanging="2"/>
      <w:rPr>
        <w:rFonts w:ascii="Century Gothic" w:cs="Century Gothic" w:eastAsia="Century Gothic" w:hAnsi="Century Gothic"/>
        <w:sz w:val="22"/>
        <w:szCs w:val="22"/>
      </w:rPr>
    </w:pPr>
    <w:r w:rsidDel="00000000" w:rsidR="00000000" w:rsidRPr="00000000">
      <w:rPr>
        <w:rtl w:val="0"/>
      </w:rPr>
    </w:r>
  </w:p>
  <w:tbl>
    <w:tblPr>
      <w:tblStyle w:val="Table8"/>
      <w:tblW w:w="97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4350"/>
      <w:gridCol w:w="2730"/>
      <w:tblGridChange w:id="0">
        <w:tblGrid>
          <w:gridCol w:w="2670"/>
          <w:gridCol w:w="4350"/>
          <w:gridCol w:w="2730"/>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78">
          <w:pPr>
            <w:widowControl w:val="0"/>
            <w:spacing w:line="276" w:lineRule="auto"/>
            <w:ind w:firstLine="0"/>
            <w:jc w:val="center"/>
            <w:rPr>
              <w:rFonts w:ascii="Arial" w:cs="Arial" w:eastAsia="Arial" w:hAnsi="Arial"/>
              <w:color w:val="000000"/>
            </w:rPr>
          </w:pPr>
          <w:r w:rsidDel="00000000" w:rsidR="00000000" w:rsidRPr="00000000">
            <w:rPr>
              <w:rFonts w:ascii="Calibri" w:cs="Calibri" w:eastAsia="Calibri" w:hAnsi="Calibri"/>
              <w:sz w:val="21"/>
              <w:szCs w:val="21"/>
            </w:rPr>
            <w:drawing>
              <wp:inline distB="114300" distT="114300" distL="114300" distR="114300">
                <wp:extent cx="1562100" cy="533400"/>
                <wp:effectExtent b="0" l="0" r="0" t="0"/>
                <wp:docPr id="107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2100" cy="5334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CÓDIGO:</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CIDTPA-TH-FO-043</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XYBiy9iW5krewv/9IyZBgj9/A==">CgMxLjAaHwoBMBIaChgICVIUChJ0YWJsZS5yb3dxdGo4cG5pbTIyDmgudmxudHRjdG8xbWV3Mg5oLmJxa2N5Njg0YnZzcDIOaC5vbDliaWV4aDVuaW84AHIhMUktOGJPS0JLbXNXT0tGUnFWMjNPSEtSd19aYlhmbDBS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