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3120"/>
        <w:gridCol w:w="3420"/>
        <w:tblGridChange w:id="0">
          <w:tblGrid>
            <w:gridCol w:w="3225"/>
            <w:gridCol w:w="3120"/>
            <w:gridCol w:w="342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FECHA:  26 DE AGO- 2025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Verificación de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Lectura y aprobación del acta anterior 005 del comité de calidad.</w:t>
            </w:r>
          </w:p>
        </w:tc>
      </w:tr>
      <w:tr>
        <w:trPr>
          <w:cantSplit w:val="0"/>
          <w:trHeight w:val="284.20898437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25.19685039370086" w:right="88.93700787401599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tabs>
                <w:tab w:val="center" w:leader="none" w:pos="4252"/>
                <w:tab w:val="right" w:leader="none" w:pos="8504"/>
                <w:tab w:val="left" w:leader="none" w:pos="284"/>
              </w:tabs>
              <w:spacing w:line="276" w:lineRule="auto"/>
              <w:ind w:left="425.19685039370086" w:right="193" w:hanging="283.464566929134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Formulación de planes de mejoramiento para alcanzar la calidad esperada.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Proposiciones, compromisos y varios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385"/>
        <w:gridCol w:w="765"/>
        <w:gridCol w:w="615"/>
        <w:tblGridChange w:id="0">
          <w:tblGrid>
            <w:gridCol w:w="8385"/>
            <w:gridCol w:w="76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Formulación de planes de mejoramiento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8:00 am, se reúne el Comité de Calidad y equipo PAMEC 2025, en ENDOCRINOLOGY &amp; HEALTH IPS.</w:t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-108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reunión se inicia con un saludo a todos los presentes, se realiza la verificación del quórum, en la que se confirma la asistencia de todos.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hace lectura y aprobación del acta del comité 005 a lo que todos los asistentes confirman estar de acuerdo.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inicia socialización de la autoevaluación </w:t>
            </w:r>
            <w:hyperlink r:id="rId7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22"/>
                  <w:szCs w:val="22"/>
                  <w:u w:val="single"/>
                  <w:rtl w:val="0"/>
                </w:rPr>
                <w:t xml:space="preserve">Instrumento PAMEC 2025.xlsx</w:t>
              </w:r>
            </w:hyperlink>
            <w:r w:rsidDel="00000000" w:rsidR="00000000" w:rsidRPr="00000000">
              <w:rPr>
                <w:rFonts w:ascii="Century Gothic" w:cs="Century Gothic" w:eastAsia="Century Gothic" w:hAnsi="Century Gothic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la cual hacía parte de los compromisos anteriores, que corresponde a la </w:t>
            </w:r>
            <w:r w:rsidDel="00000000" w:rsidR="00000000" w:rsidRPr="00000000">
              <w:rPr>
                <w:rFonts w:ascii="Century Gothic" w:cs="Century Gothic" w:eastAsia="Century Gothic" w:hAnsi="Century Gothic"/>
                <w:i w:val="1"/>
                <w:sz w:val="22"/>
                <w:szCs w:val="22"/>
                <w:rtl w:val="0"/>
              </w:rPr>
              <w:t xml:space="preserve">Formulación de planes de mejoramiento para alcanzar la calidad esperada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. En esta etapa, se detallaron los siguientes actividades: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Acciones de mejoramiento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Proceso institucional responsable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Responsable de la ejecución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Cronograma de vigencia del plan de mejoramiento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144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 socializa la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tabla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 la formulación del plan de mejoramiento inicial y con las fechas tentativas a ejecución: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240" w:before="240" w:line="276" w:lineRule="auto"/>
              <w:ind w:firstLine="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</w:rPr>
              <w:drawing>
                <wp:inline distB="114300" distT="114300" distL="114300" distR="114300">
                  <wp:extent cx="6076950" cy="2171700"/>
                  <wp:effectExtent b="0" l="0" r="0" t="0"/>
                  <wp:docPr id="109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CUADRO SOPORTE DE PLAN DE MEJORAMIENTO: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2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hanging="360"/>
              <w:rPr>
                <w:rFonts w:ascii="Century Gothic" w:cs="Century Gothic" w:eastAsia="Century Gothic" w:hAnsi="Century Gothic"/>
                <w:sz w:val="18"/>
                <w:szCs w:val="18"/>
                <w:u w:val="none"/>
              </w:rPr>
            </w:pPr>
            <w:hyperlink r:id="rId9">
              <w:r w:rsidDel="00000000" w:rsidR="00000000" w:rsidRPr="00000000">
                <w:rPr>
                  <w:rFonts w:ascii="Century Gothic" w:cs="Century Gothic" w:eastAsia="Century Gothic" w:hAnsi="Century Gothic"/>
                  <w:color w:val="0000ee"/>
                  <w:sz w:val="18"/>
                  <w:szCs w:val="18"/>
                  <w:u w:val="single"/>
                  <w:rtl w:val="0"/>
                </w:rPr>
                <w:t xml:space="preserve">7. FORMULACION DEL PLAN DE MEJORAMIENTO.xlsx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after="0" w:before="0" w:line="276" w:lineRule="auto"/>
              <w:ind w:left="720" w:firstLine="0"/>
              <w:rPr>
                <w:rFonts w:ascii="Century Gothic" w:cs="Century Gothic" w:eastAsia="Century Gothic" w:hAnsi="Century Gothic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Con base a la formulación del plan de mejoramiento para alcanzar la calidad observada, se socializa con el equipo PAMEC el cronograma a ejecutar y todos asienten estar de acuerdo, por lo que se da paso a la siguiente Etapa 8: Implementación del plan de mejora en la cual se utilizara la metodología con la matriz 5w1h.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  <w:tab w:val="left" w:leader="none" w:pos="708"/>
                <w:tab w:val="right" w:leader="none" w:pos="8646"/>
              </w:tabs>
              <w:spacing w:line="276" w:lineRule="auto"/>
              <w:ind w:left="720" w:hanging="360"/>
              <w:jc w:val="both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Siendo las 10:15 am se da por terminado el comité de calidad, con la reunión del equipo PAMEC 2025.</w:t>
            </w:r>
          </w:p>
        </w:tc>
      </w:tr>
    </w:tbl>
    <w:p w:rsidR="00000000" w:rsidDel="00000000" w:rsidP="00000000" w:rsidRDefault="00000000" w:rsidRPr="00000000" w14:paraId="0000004A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ind w:left="0" w:hanging="2"/>
              <w:jc w:val="center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numPr>
                <w:ilvl w:val="0"/>
                <w:numId w:val="5"/>
              </w:numPr>
              <w:spacing w:after="40" w:before="40" w:lineRule="auto"/>
              <w:ind w:left="720" w:hanging="360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Implementación del plan de mejora.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40" w:before="40" w:lineRule="auto"/>
              <w:ind w:hanging="2"/>
              <w:rPr>
                <w:rFonts w:ascii="Century Gothic" w:cs="Century Gothic" w:eastAsia="Century Gothic" w:hAnsi="Century Gothic"/>
                <w:sz w:val="22"/>
                <w:szCs w:val="2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2"/>
                <w:szCs w:val="22"/>
                <w:rtl w:val="0"/>
              </w:rPr>
              <w:t xml:space="preserve">Septiembre - Octubre - Noviembre 2025</w:t>
            </w:r>
          </w:p>
        </w:tc>
      </w:tr>
    </w:tbl>
    <w:p w:rsidR="00000000" w:rsidDel="00000000" w:rsidP="00000000" w:rsidRDefault="00000000" w:rsidRPr="00000000" w14:paraId="00000051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91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95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9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tbl>
    <w:tblPr>
      <w:tblStyle w:val="Table9"/>
      <w:tblW w:w="9750.0" w:type="dxa"/>
      <w:jc w:val="left"/>
      <w:tblInd w:w="-49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875"/>
      <w:gridCol w:w="2130"/>
      <w:gridCol w:w="2340"/>
      <w:gridCol w:w="1425"/>
      <w:gridCol w:w="1980"/>
      <w:tblGridChange w:id="0">
        <w:tblGrid>
          <w:gridCol w:w="1875"/>
          <w:gridCol w:w="2130"/>
          <w:gridCol w:w="2340"/>
          <w:gridCol w:w="1425"/>
          <w:gridCol w:w="198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Elaborado</w:t>
          </w:r>
        </w:p>
      </w:tc>
      <w:tc>
        <w:tcPr/>
        <w:p w:rsidR="00000000" w:rsidDel="00000000" w:rsidP="00000000" w:rsidRDefault="00000000" w:rsidRPr="00000000" w14:paraId="0000006F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Revisado</w:t>
          </w:r>
        </w:p>
      </w:tc>
      <w:tc>
        <w:tcPr/>
        <w:p w:rsidR="00000000" w:rsidDel="00000000" w:rsidP="00000000" w:rsidRDefault="00000000" w:rsidRPr="00000000" w14:paraId="00000070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Aprobado</w:t>
          </w:r>
        </w:p>
      </w:tc>
      <w:tc>
        <w:tcPr/>
        <w:p w:rsidR="00000000" w:rsidDel="00000000" w:rsidP="00000000" w:rsidRDefault="00000000" w:rsidRPr="00000000" w14:paraId="00000071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Actualización</w:t>
          </w:r>
        </w:p>
      </w:tc>
      <w:tc>
        <w:tcPr/>
        <w:p w:rsidR="00000000" w:rsidDel="00000000" w:rsidP="00000000" w:rsidRDefault="00000000" w:rsidRPr="00000000" w14:paraId="00000072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02 de Mayo de 2024</w:t>
          </w:r>
        </w:p>
      </w:tc>
    </w:tr>
    <w:tr>
      <w:trPr>
        <w:cantSplit w:val="0"/>
        <w:tblHeader w:val="0"/>
      </w:trPr>
      <w:tc>
        <w:tcPr>
          <w:vMerge w:val="restart"/>
        </w:tcPr>
        <w:p w:rsidR="00000000" w:rsidDel="00000000" w:rsidP="00000000" w:rsidRDefault="00000000" w:rsidRPr="00000000" w14:paraId="00000073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4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5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Kelly Canacue</w:t>
          </w:r>
        </w:p>
        <w:p w:rsidR="00000000" w:rsidDel="00000000" w:rsidP="00000000" w:rsidRDefault="00000000" w:rsidRPr="00000000" w14:paraId="00000076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Líder de calidad</w:t>
          </w:r>
        </w:p>
      </w:tc>
      <w:tc>
        <w:tcPr>
          <w:vMerge w:val="restart"/>
        </w:tcPr>
        <w:p w:rsidR="00000000" w:rsidDel="00000000" w:rsidP="00000000" w:rsidRDefault="00000000" w:rsidRPr="00000000" w14:paraId="00000077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Carlos Javier Vizcaino</w:t>
          </w:r>
        </w:p>
        <w:p w:rsidR="00000000" w:rsidDel="00000000" w:rsidP="00000000" w:rsidRDefault="00000000" w:rsidRPr="00000000" w14:paraId="00000078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Gerente</w:t>
          </w:r>
        </w:p>
      </w:tc>
      <w:tc>
        <w:tcPr/>
        <w:p w:rsidR="00000000" w:rsidDel="00000000" w:rsidP="00000000" w:rsidRDefault="00000000" w:rsidRPr="00000000" w14:paraId="00000079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Versión</w:t>
          </w:r>
        </w:p>
      </w:tc>
      <w:tc>
        <w:tcPr/>
        <w:p w:rsidR="00000000" w:rsidDel="00000000" w:rsidP="00000000" w:rsidRDefault="00000000" w:rsidRPr="00000000" w14:paraId="0000007A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001</w:t>
          </w:r>
        </w:p>
      </w:tc>
    </w:tr>
    <w:tr>
      <w:trPr>
        <w:cantSplit w:val="0"/>
        <w:tblHeader w:val="0"/>
      </w:trPr>
      <w:tc>
        <w:tcPr>
          <w:vMerge w:val="continue"/>
        </w:tcPr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</w:tcPr>
        <w:p w:rsidR="00000000" w:rsidDel="00000000" w:rsidP="00000000" w:rsidRDefault="00000000" w:rsidRPr="00000000" w14:paraId="0000007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E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Página</w:t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center" w:leader="none" w:pos="4252"/>
              <w:tab w:val="right" w:leader="none" w:pos="8504"/>
            </w:tabs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4">
          <w:pPr>
            <w:tabs>
              <w:tab w:val="center" w:leader="none" w:pos="4252"/>
              <w:tab w:val="right" w:leader="none" w:pos="8504"/>
            </w:tabs>
            <w:ind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</w:rPr>
            <w:drawing>
              <wp:inline distB="0" distT="0" distL="114300" distR="114300">
                <wp:extent cx="1477963" cy="569215"/>
                <wp:effectExtent b="0" l="0" r="0" t="0"/>
                <wp:docPr id="109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22304" l="9915" r="12264" t="2449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7963" cy="56921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5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6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6A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tabs>
              <w:tab w:val="center" w:leader="none" w:pos="4252"/>
              <w:tab w:val="right" w:leader="none" w:pos="8504"/>
            </w:tabs>
            <w:ind w:hanging="2"/>
            <w:jc w:val="center"/>
            <w:rPr>
              <w:rFonts w:ascii="Century Gothic" w:cs="Century Gothic" w:eastAsia="Century Gothic" w:hAnsi="Century Gothic"/>
              <w:sz w:val="16"/>
              <w:szCs w:val="16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jpg"/><Relationship Id="rId10" Type="http://schemas.openxmlformats.org/officeDocument/2006/relationships/image" Target="media/image5.jp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kzYqmehwXrAbp1zyAC2OPsyNIiLIcLZH/edit?usp=sharing&amp;ouid=111403179196784632681&amp;rtpof=true&amp;sd=true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3Tx5PVETLb8ZoDk3v7m8zLIV3ys-IPo4/edit?usp=sharing&amp;ouid=114196465456272126319&amp;rtpof=true&amp;sd=true" TargetMode="External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TBFs2l3O6DqmhSTKN9UqdBc+g==">CgMxLjA4AHIhMTRpRmFZeU13eXRNQ0hlZ21mMGV4dzdoUERibFgxZWJE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