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spacing w:line="276"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RESOLUCIÓN N° 006 DE (2025)</w:t>
      </w:r>
    </w:p>
    <w:p w:rsidR="00000000" w:rsidDel="00000000" w:rsidP="00000000" w:rsidRDefault="00000000" w:rsidRPr="00000000" w14:paraId="00000005">
      <w:pPr>
        <w:spacing w:line="276"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(17 DE ENERO DE 2025)</w:t>
      </w:r>
    </w:p>
    <w:p w:rsidR="00000000" w:rsidDel="00000000" w:rsidP="00000000" w:rsidRDefault="00000000" w:rsidRPr="00000000" w14:paraId="00000006">
      <w:pPr>
        <w:spacing w:line="276" w:lineRule="auto"/>
        <w:jc w:val="center"/>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07">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Por medio de la cual se crean y se establece la estructura y funciones del comité de ATENCION A VICTIMAS DE VIOLENCIA SEXUAL de ENDOCRINOLOGY &amp; HEALTH.</w:t>
      </w:r>
    </w:p>
    <w:p w:rsidR="00000000" w:rsidDel="00000000" w:rsidP="00000000" w:rsidRDefault="00000000" w:rsidRPr="00000000" w14:paraId="00000008">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gerente de ENDOCRINOLOGY &amp; HEALTH, en uso de sus atribuciones que le confiere como representante legal.</w:t>
      </w:r>
    </w:p>
    <w:p w:rsidR="00000000" w:rsidDel="00000000" w:rsidP="00000000" w:rsidRDefault="00000000" w:rsidRPr="00000000" w14:paraId="00000009">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A">
      <w:pPr>
        <w:spacing w:after="240" w:before="240"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CONSIDERANDO:</w:t>
      </w:r>
    </w:p>
    <w:p w:rsidR="00000000" w:rsidDel="00000000" w:rsidP="00000000" w:rsidRDefault="00000000" w:rsidRPr="00000000" w14:paraId="0000000B">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la Ley 1146 de 2007 establece normas para la prevención de la violencia sexual y la atención integral de niños, niñas y adolescentes abusados sexualmente. En su Capítulo III, fija disposiciones relacionadas con la atención en salud para víctimas de abuso sexual, estableciendo la responsabilidad de los actores del Sistema General de Seguridad Social en Salud, tanto público como privado, así como de los hospitales y centros de salud, quienes están en la obligación de prestar atención médica de urgencia integral en salud a través de profesionales y servicios especializados.</w:t>
      </w:r>
    </w:p>
    <w:p w:rsidR="00000000" w:rsidDel="00000000" w:rsidP="00000000" w:rsidRDefault="00000000" w:rsidRPr="00000000" w14:paraId="0000000C">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según lo establecido en la Ley 1146 de 2007, se crea el Comité de Atención a Víctimas de Violencia Sexual, entendiendo por violencia sexual todo acto o comportamiento de tipo sexual ejercido sobre una persona, especialmente niños, niñas y adolescentes, utilizando la fuerza o cualquier otra forma de coacción física, psicológica o emocional, aprovechando las condiciones de indefensión, desigualdad y las relaciones existentes entre víctima y agresor.</w:t>
      </w:r>
    </w:p>
    <w:p w:rsidR="00000000" w:rsidDel="00000000" w:rsidP="00000000" w:rsidRDefault="00000000" w:rsidRPr="00000000" w14:paraId="0000000D">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RESUELVE:</w:t>
      </w:r>
    </w:p>
    <w:p w:rsidR="00000000" w:rsidDel="00000000" w:rsidP="00000000" w:rsidRDefault="00000000" w:rsidRPr="00000000" w14:paraId="0000000E">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PRIMERO:</w:t>
      </w:r>
      <w:r w:rsidDel="00000000" w:rsidR="00000000" w:rsidRPr="00000000">
        <w:rPr>
          <w:rFonts w:ascii="Century Gothic" w:cs="Century Gothic" w:eastAsia="Century Gothic" w:hAnsi="Century Gothic"/>
          <w:sz w:val="22"/>
          <w:szCs w:val="22"/>
          <w:rtl w:val="0"/>
        </w:rPr>
        <w:t xml:space="preserve"> Crear el Comité de Atención a Víctimas de Violencia Sexual, el cual tendrá como objetivo principal la prevención de la violencia sexual y la atención integral de las personas que han sufrido abuso sexual, especialmente niños, niñas y adolescentes.</w:t>
      </w:r>
    </w:p>
    <w:p w:rsidR="00000000" w:rsidDel="00000000" w:rsidP="00000000" w:rsidRDefault="00000000" w:rsidRPr="00000000" w14:paraId="0000000F">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SEGUNDO:</w:t>
      </w:r>
      <w:r w:rsidDel="00000000" w:rsidR="00000000" w:rsidRPr="00000000">
        <w:rPr>
          <w:rFonts w:ascii="Century Gothic" w:cs="Century Gothic" w:eastAsia="Century Gothic" w:hAnsi="Century Gothic"/>
          <w:sz w:val="22"/>
          <w:szCs w:val="22"/>
          <w:rtl w:val="0"/>
        </w:rPr>
        <w:t xml:space="preserve"> Definir los integrantes del Comité de Atención a Víctimas de Violencia Sexual:</w:t>
      </w:r>
    </w:p>
    <w:p w:rsidR="00000000" w:rsidDel="00000000" w:rsidP="00000000" w:rsidRDefault="00000000" w:rsidRPr="00000000" w14:paraId="00000010">
      <w:pPr>
        <w:numPr>
          <w:ilvl w:val="0"/>
          <w:numId w:val="1"/>
        </w:numPr>
        <w:spacing w:after="0" w:before="24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Gerente</w:t>
      </w:r>
    </w:p>
    <w:p w:rsidR="00000000" w:rsidDel="00000000" w:rsidP="00000000" w:rsidRDefault="00000000" w:rsidRPr="00000000" w14:paraId="00000011">
      <w:pPr>
        <w:numPr>
          <w:ilvl w:val="0"/>
          <w:numId w:val="1"/>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Auxiliar administrativa</w:t>
      </w:r>
    </w:p>
    <w:p w:rsidR="00000000" w:rsidDel="00000000" w:rsidP="00000000" w:rsidRDefault="00000000" w:rsidRPr="00000000" w14:paraId="00000012">
      <w:pPr>
        <w:numPr>
          <w:ilvl w:val="0"/>
          <w:numId w:val="1"/>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Asesor de Calidad</w:t>
      </w:r>
    </w:p>
    <w:p w:rsidR="00000000" w:rsidDel="00000000" w:rsidP="00000000" w:rsidRDefault="00000000" w:rsidRPr="00000000" w14:paraId="00000013">
      <w:pPr>
        <w:spacing w:after="240" w:before="240" w:line="36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TERCERO:</w:t>
      </w:r>
      <w:r w:rsidDel="00000000" w:rsidR="00000000" w:rsidRPr="00000000">
        <w:rPr>
          <w:rFonts w:ascii="Century Gothic" w:cs="Century Gothic" w:eastAsia="Century Gothic" w:hAnsi="Century Gothic"/>
          <w:sz w:val="22"/>
          <w:szCs w:val="22"/>
          <w:rtl w:val="0"/>
        </w:rPr>
        <w:t xml:space="preserve"> Funciones del Comité de Atención a Víctimas de Violencia Sexual:</w:t>
      </w:r>
    </w:p>
    <w:p w:rsidR="00000000" w:rsidDel="00000000" w:rsidP="00000000" w:rsidRDefault="00000000" w:rsidRPr="00000000" w14:paraId="00000014">
      <w:pPr>
        <w:numPr>
          <w:ilvl w:val="0"/>
          <w:numId w:val="2"/>
        </w:numPr>
        <w:spacing w:after="0" w:before="24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Adoptar el protocolo de atención a víctimas de violencia sexual conforme a la normatividad vigente.</w:t>
      </w:r>
    </w:p>
    <w:p w:rsidR="00000000" w:rsidDel="00000000" w:rsidP="00000000" w:rsidRDefault="00000000" w:rsidRPr="00000000" w14:paraId="00000015">
      <w:pPr>
        <w:numPr>
          <w:ilvl w:val="0"/>
          <w:numId w:val="2"/>
        </w:numPr>
        <w:spacing w:after="0" w:before="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Activar la ruta de atención según los protocolos establecidos.</w:t>
      </w:r>
    </w:p>
    <w:p w:rsidR="00000000" w:rsidDel="00000000" w:rsidP="00000000" w:rsidRDefault="00000000" w:rsidRPr="00000000" w14:paraId="00000016">
      <w:pPr>
        <w:numPr>
          <w:ilvl w:val="0"/>
          <w:numId w:val="2"/>
        </w:numPr>
        <w:spacing w:after="0" w:before="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Comunicarse con los entes competentes para garantizar la atención y protección de las víctimas.</w:t>
      </w:r>
    </w:p>
    <w:p w:rsidR="00000000" w:rsidDel="00000000" w:rsidP="00000000" w:rsidRDefault="00000000" w:rsidRPr="00000000" w14:paraId="00000017">
      <w:pPr>
        <w:numPr>
          <w:ilvl w:val="0"/>
          <w:numId w:val="2"/>
        </w:numPr>
        <w:spacing w:after="240" w:before="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Remitir a la EPS correspondiente para la atención de urgencias del usuario afectado.</w:t>
      </w:r>
    </w:p>
    <w:p w:rsidR="00000000" w:rsidDel="00000000" w:rsidP="00000000" w:rsidRDefault="00000000" w:rsidRPr="00000000" w14:paraId="00000018">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CUARTO:</w:t>
      </w:r>
      <w:r w:rsidDel="00000000" w:rsidR="00000000" w:rsidRPr="00000000">
        <w:rPr>
          <w:rFonts w:ascii="Century Gothic" w:cs="Century Gothic" w:eastAsia="Century Gothic" w:hAnsi="Century Gothic"/>
          <w:sz w:val="22"/>
          <w:szCs w:val="22"/>
          <w:rtl w:val="0"/>
        </w:rPr>
        <w:t xml:space="preserve"> Periodicidad de reuniones:</w:t>
        <w:br w:type="textWrapping"/>
        <w:t xml:space="preserve">Las reuniones del Comité serán semestrales, es decir, se convocarán inmediatamente cuando se presuma un caso de violencia sexual.</w:t>
      </w:r>
    </w:p>
    <w:p w:rsidR="00000000" w:rsidDel="00000000" w:rsidP="00000000" w:rsidRDefault="00000000" w:rsidRPr="00000000" w14:paraId="00000019">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QUINTO:</w:t>
      </w:r>
      <w:r w:rsidDel="00000000" w:rsidR="00000000" w:rsidRPr="00000000">
        <w:rPr>
          <w:rFonts w:ascii="Century Gothic" w:cs="Century Gothic" w:eastAsia="Century Gothic" w:hAnsi="Century Gothic"/>
          <w:sz w:val="22"/>
          <w:szCs w:val="22"/>
          <w:rtl w:val="0"/>
        </w:rPr>
        <w:t xml:space="preserve"> Quién convoca:</w:t>
        <w:br w:type="textWrapping"/>
        <w:t xml:space="preserve">El Coordinador del Comité o cuando dos de sus miembros lo requieran.</w:t>
      </w:r>
    </w:p>
    <w:p w:rsidR="00000000" w:rsidDel="00000000" w:rsidP="00000000" w:rsidRDefault="00000000" w:rsidRPr="00000000" w14:paraId="0000001A">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SEXTO:</w:t>
      </w:r>
      <w:r w:rsidDel="00000000" w:rsidR="00000000" w:rsidRPr="00000000">
        <w:rPr>
          <w:rFonts w:ascii="Century Gothic" w:cs="Century Gothic" w:eastAsia="Century Gothic" w:hAnsi="Century Gothic"/>
          <w:sz w:val="22"/>
          <w:szCs w:val="22"/>
          <w:rtl w:val="0"/>
        </w:rPr>
        <w:t xml:space="preserve"> Quórum:</w:t>
        <w:br w:type="textWrapping"/>
        <w:t xml:space="preserve">Habrá quórum para deliberar con la asistencia de la mitad más uno de sus miembros. Todas las decisiones serán tomadas con el voto afirmativo de la mayoría de los asistentes.</w:t>
      </w:r>
    </w:p>
    <w:p w:rsidR="00000000" w:rsidDel="00000000" w:rsidP="00000000" w:rsidRDefault="00000000" w:rsidRPr="00000000" w14:paraId="0000001B">
      <w:pPr>
        <w:spacing w:after="240" w:before="240"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ARTÍCULO SÉPTIMO:</w:t>
      </w:r>
      <w:r w:rsidDel="00000000" w:rsidR="00000000" w:rsidRPr="00000000">
        <w:rPr>
          <w:rFonts w:ascii="Century Gothic" w:cs="Century Gothic" w:eastAsia="Century Gothic" w:hAnsi="Century Gothic"/>
          <w:sz w:val="22"/>
          <w:szCs w:val="22"/>
          <w:rtl w:val="0"/>
        </w:rPr>
        <w:t xml:space="preserve"> La presente Resolución rige a partir de la fecha de su expedición.</w:t>
      </w:r>
      <w:r w:rsidDel="00000000" w:rsidR="00000000" w:rsidRPr="00000000">
        <w:rPr>
          <w:rtl w:val="0"/>
        </w:rPr>
      </w:r>
    </w:p>
    <w:p w:rsidR="00000000" w:rsidDel="00000000" w:rsidP="00000000" w:rsidRDefault="00000000" w:rsidRPr="00000000" w14:paraId="0000001C">
      <w:pPr>
        <w:widowControl w:val="0"/>
        <w:spacing w:after="0" w:line="276" w:lineRule="auto"/>
        <w:ind w:left="36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D">
      <w:pPr>
        <w:spacing w:line="276"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NOTIFIQUESE Y CUMPLASE</w:t>
      </w:r>
    </w:p>
    <w:p w:rsidR="00000000" w:rsidDel="00000000" w:rsidP="00000000" w:rsidRDefault="00000000" w:rsidRPr="00000000" w14:paraId="0000001E">
      <w:pPr>
        <w:spacing w:line="276" w:lineRule="auto"/>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F">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Dada en Ibagué, a los 17 días de Enero de 2025</w:t>
      </w:r>
    </w:p>
    <w:p w:rsidR="00000000" w:rsidDel="00000000" w:rsidP="00000000" w:rsidRDefault="00000000" w:rsidRPr="00000000" w14:paraId="00000020">
      <w:pPr>
        <w:spacing w:line="276" w:lineRule="auto"/>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1">
      <w:pPr>
        <w:spacing w:line="276" w:lineRule="auto"/>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169049" cy="928014"/>
            <wp:effectExtent b="0" l="0" r="0" t="0"/>
            <wp:docPr id="1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169049" cy="92801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240" w:lineRule="auto"/>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Carlos Vizcaino</w:t>
      </w:r>
    </w:p>
    <w:p w:rsidR="00000000" w:rsidDel="00000000" w:rsidP="00000000" w:rsidRDefault="00000000" w:rsidRPr="00000000" w14:paraId="00000024">
      <w:pPr>
        <w:spacing w:after="0" w:line="240" w:lineRule="auto"/>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i w:val="1"/>
          <w:sz w:val="22"/>
          <w:szCs w:val="22"/>
          <w:rtl w:val="0"/>
        </w:rPr>
        <w:t xml:space="preserve">Gerente Endocrinology &amp; Health </w:t>
      </w:r>
      <w:r w:rsidDel="00000000" w:rsidR="00000000" w:rsidRPr="00000000">
        <w:rPr>
          <w:rtl w:val="0"/>
        </w:rPr>
      </w:r>
    </w:p>
    <w:sectPr>
      <w:headerReference r:id="rId8" w:type="default"/>
      <w:headerReference r:id="rId9" w:type="first"/>
      <w:headerReference r:id="rId10" w:type="even"/>
      <w:pgSz w:h="15840" w:w="12240" w:orient="portrait"/>
      <w:pgMar w:bottom="1107.1653543307093"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tabs>
        <w:tab w:val="center" w:leader="none" w:pos="4252"/>
        <w:tab w:val="right" w:leader="none" w:pos="8504"/>
      </w:tabs>
      <w:spacing w:after="0" w:line="240" w:lineRule="auto"/>
      <w:jc w:val="center"/>
      <w:rPr/>
    </w:pPr>
    <w:r w:rsidDel="00000000" w:rsidR="00000000" w:rsidRPr="00000000">
      <w:rPr>
        <w:rFonts w:ascii="Arial" w:cs="Arial" w:eastAsia="Arial" w:hAnsi="Arial"/>
        <w:sz w:val="24"/>
        <w:szCs w:val="24"/>
      </w:rPr>
      <w:drawing>
        <wp:inline distB="0" distT="0" distL="114300" distR="114300">
          <wp:extent cx="1786573" cy="945833"/>
          <wp:effectExtent b="0" l="0" r="0" t="0"/>
          <wp:docPr id="20" name="image2.png"/>
          <a:graphic>
            <a:graphicData uri="http://schemas.openxmlformats.org/drawingml/2006/picture">
              <pic:pic>
                <pic:nvPicPr>
                  <pic:cNvPr id="0" name="image2.png"/>
                  <pic:cNvPicPr preferRelativeResize="0"/>
                </pic:nvPicPr>
                <pic:blipFill>
                  <a:blip r:embed="rId1"/>
                  <a:srcRect b="24536" l="13764" r="15575" t="23751"/>
                  <a:stretch>
                    <a:fillRect/>
                  </a:stretch>
                </pic:blipFill>
                <pic:spPr>
                  <a:xfrm>
                    <a:off x="0" y="0"/>
                    <a:ext cx="1786573" cy="94583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pict>
        <v:shape id="WordPictureWatermark1" style="position:absolute;width:441.6pt;height:441.2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pict>
        <v:shape id="WordPictureWatermark2" style="position:absolute;width:441.6pt;height:441.2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
      </w:rPr>
    </w:rPrDefault>
    <w:pPrDefault>
      <w:pPr>
        <w:spacing w:after="16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basedOn w:val="Normal"/>
    <w:next w:val="Normal"/>
    <w:link w:val="Ttulo7Car"/>
    <w:uiPriority w:val="9"/>
    <w:semiHidden w:val="1"/>
    <w:unhideWhenUsed w:val="1"/>
    <w:qFormat w:val="1"/>
    <w:rsid w:val="009C3F6B"/>
    <w:pPr>
      <w:keepNext w:val="1"/>
      <w:keepLines w:val="1"/>
      <w:spacing w:after="0" w:before="40"/>
      <w:outlineLvl w:val="6"/>
    </w:pPr>
    <w:rPr>
      <w:rFonts w:asciiTheme="majorHAnsi" w:cstheme="majorBidi" w:eastAsiaTheme="majorEastAsia" w:hAnsiTheme="majorHAnsi"/>
      <w:sz w:val="24"/>
      <w:szCs w:val="24"/>
    </w:rPr>
  </w:style>
  <w:style w:type="paragraph" w:styleId="Ttulo8">
    <w:name w:val="heading 8"/>
    <w:basedOn w:val="Normal"/>
    <w:next w:val="Normal"/>
    <w:link w:val="Ttulo8Car"/>
    <w:uiPriority w:val="9"/>
    <w:semiHidden w:val="1"/>
    <w:unhideWhenUsed w:val="1"/>
    <w:qFormat w:val="1"/>
    <w:rsid w:val="009C3F6B"/>
    <w:pPr>
      <w:keepNext w:val="1"/>
      <w:keepLines w:val="1"/>
      <w:spacing w:after="0" w:before="40"/>
      <w:outlineLvl w:val="7"/>
    </w:pPr>
    <w:rPr>
      <w:rFonts w:asciiTheme="majorHAnsi" w:cstheme="majorBidi" w:eastAsiaTheme="majorEastAsia" w:hAnsiTheme="majorHAnsi"/>
      <w:i w:val="1"/>
      <w:iCs w:val="1"/>
      <w:sz w:val="22"/>
      <w:szCs w:val="22"/>
    </w:rPr>
  </w:style>
  <w:style w:type="paragraph" w:styleId="Ttulo9">
    <w:name w:val="heading 9"/>
    <w:basedOn w:val="Normal"/>
    <w:next w:val="Normal"/>
    <w:link w:val="Ttulo9Car"/>
    <w:uiPriority w:val="9"/>
    <w:semiHidden w:val="1"/>
    <w:unhideWhenUsed w:val="1"/>
    <w:qFormat w:val="1"/>
    <w:rsid w:val="009C3F6B"/>
    <w:pPr>
      <w:keepNext w:val="1"/>
      <w:keepLines w:val="1"/>
      <w:spacing w:after="0" w:before="40"/>
      <w:outlineLvl w:val="8"/>
    </w:pPr>
    <w:rPr>
      <w:b w:val="1"/>
      <w:bCs w:val="1"/>
      <w:i w:val="1"/>
      <w:i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C3F6B"/>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9C3F6B"/>
    <w:rPr>
      <w:rFonts w:asciiTheme="majorHAnsi" w:cstheme="majorBidi" w:eastAsiaTheme="majorEastAsia" w:hAnsiTheme="majorHAnsi"/>
      <w:sz w:val="32"/>
      <w:szCs w:val="32"/>
    </w:rPr>
  </w:style>
  <w:style w:type="character" w:styleId="Ttulo3Car" w:customStyle="1">
    <w:name w:val="Título 3 Car"/>
    <w:basedOn w:val="Fuentedeprrafopredeter"/>
    <w:link w:val="Ttulo3"/>
    <w:uiPriority w:val="9"/>
    <w:rsid w:val="009C3F6B"/>
    <w:rPr>
      <w:rFonts w:asciiTheme="majorHAnsi" w:cstheme="majorBidi" w:eastAsiaTheme="majorEastAsia" w:hAnsiTheme="majorHAnsi"/>
      <w:sz w:val="32"/>
      <w:szCs w:val="32"/>
    </w:rPr>
  </w:style>
  <w:style w:type="character" w:styleId="Ttulo4Car" w:customStyle="1">
    <w:name w:val="Título 4 Car"/>
    <w:basedOn w:val="Fuentedeprrafopredeter"/>
    <w:link w:val="Ttulo4"/>
    <w:uiPriority w:val="9"/>
    <w:rsid w:val="009C3F6B"/>
    <w:rPr>
      <w:rFonts w:asciiTheme="majorHAnsi" w:cstheme="majorBidi" w:eastAsiaTheme="majorEastAsia" w:hAnsiTheme="majorHAnsi"/>
      <w:i w:val="1"/>
      <w:iCs w:val="1"/>
      <w:sz w:val="30"/>
      <w:szCs w:val="30"/>
    </w:rPr>
  </w:style>
  <w:style w:type="character" w:styleId="Ttulo5Car" w:customStyle="1">
    <w:name w:val="Título 5 Car"/>
    <w:basedOn w:val="Fuentedeprrafopredeter"/>
    <w:link w:val="Ttulo5"/>
    <w:uiPriority w:val="9"/>
    <w:rsid w:val="009C3F6B"/>
    <w:rPr>
      <w:rFonts w:asciiTheme="majorHAnsi" w:cstheme="majorBidi" w:eastAsiaTheme="majorEastAsia" w:hAnsiTheme="majorHAnsi"/>
      <w:sz w:val="28"/>
      <w:szCs w:val="28"/>
    </w:rPr>
  </w:style>
  <w:style w:type="character" w:styleId="Ttulo6Car" w:customStyle="1">
    <w:name w:val="Título 6 Car"/>
    <w:basedOn w:val="Fuentedeprrafopredeter"/>
    <w:link w:val="Ttulo6"/>
    <w:uiPriority w:val="9"/>
    <w:semiHidden w:val="1"/>
    <w:rsid w:val="009C3F6B"/>
    <w:rPr>
      <w:rFonts w:asciiTheme="majorHAnsi" w:cstheme="majorBidi" w:eastAsiaTheme="majorEastAsia" w:hAnsiTheme="majorHAnsi"/>
      <w:i w:val="1"/>
      <w:iCs w:val="1"/>
      <w:sz w:val="26"/>
      <w:szCs w:val="26"/>
    </w:rPr>
  </w:style>
  <w:style w:type="character" w:styleId="Ttulo7Car" w:customStyle="1">
    <w:name w:val="Título 7 Car"/>
    <w:basedOn w:val="Fuentedeprrafopredeter"/>
    <w:link w:val="Ttulo7"/>
    <w:uiPriority w:val="9"/>
    <w:semiHidden w:val="1"/>
    <w:rsid w:val="009C3F6B"/>
    <w:rPr>
      <w:rFonts w:asciiTheme="majorHAnsi" w:cstheme="majorBidi" w:eastAsiaTheme="majorEastAsia" w:hAnsiTheme="majorHAnsi"/>
      <w:sz w:val="24"/>
      <w:szCs w:val="24"/>
    </w:rPr>
  </w:style>
  <w:style w:type="character" w:styleId="Ttulo8Car" w:customStyle="1">
    <w:name w:val="Título 8 Car"/>
    <w:basedOn w:val="Fuentedeprrafopredeter"/>
    <w:link w:val="Ttulo8"/>
    <w:uiPriority w:val="9"/>
    <w:semiHidden w:val="1"/>
    <w:rsid w:val="009C3F6B"/>
    <w:rPr>
      <w:rFonts w:asciiTheme="majorHAnsi" w:cstheme="majorBidi" w:eastAsiaTheme="majorEastAsia" w:hAnsiTheme="majorHAnsi"/>
      <w:i w:val="1"/>
      <w:iCs w:val="1"/>
      <w:sz w:val="22"/>
      <w:szCs w:val="22"/>
    </w:rPr>
  </w:style>
  <w:style w:type="character" w:styleId="Ttulo9Car" w:customStyle="1">
    <w:name w:val="Título 9 Car"/>
    <w:basedOn w:val="Fuentedeprrafopredeter"/>
    <w:link w:val="Ttulo9"/>
    <w:uiPriority w:val="9"/>
    <w:semiHidden w:val="1"/>
    <w:rsid w:val="009C3F6B"/>
    <w:rPr>
      <w:b w:val="1"/>
      <w:bCs w:val="1"/>
      <w:i w:val="1"/>
      <w:iCs w:val="1"/>
    </w:rPr>
  </w:style>
  <w:style w:type="paragraph" w:styleId="Descripcin">
    <w:name w:val="caption"/>
    <w:basedOn w:val="Normal"/>
    <w:next w:val="Normal"/>
    <w:uiPriority w:val="35"/>
    <w:semiHidden w:val="1"/>
    <w:unhideWhenUsed w:val="1"/>
    <w:qFormat w:val="1"/>
    <w:rsid w:val="009C3F6B"/>
    <w:pPr>
      <w:spacing w:line="240" w:lineRule="auto"/>
    </w:pPr>
    <w:rPr>
      <w:b w:val="1"/>
      <w:bCs w:val="1"/>
      <w:color w:val="404040" w:themeColor="text1" w:themeTint="0000BF"/>
      <w:sz w:val="16"/>
      <w:szCs w:val="16"/>
    </w:rPr>
  </w:style>
  <w:style w:type="character" w:styleId="TtuloCar" w:customStyle="1">
    <w:name w:val="Título Car"/>
    <w:basedOn w:val="Fuentedeprrafopredeter"/>
    <w:link w:val="Ttulo"/>
    <w:uiPriority w:val="10"/>
    <w:rsid w:val="009C3F6B"/>
    <w:rPr>
      <w:rFonts w:asciiTheme="majorHAnsi" w:cstheme="majorBidi" w:eastAsiaTheme="majorEastAsia" w:hAnsiTheme="majorHAnsi"/>
      <w:caps w:val="1"/>
      <w:color w:val="44546a" w:themeColor="text2"/>
      <w:spacing w:val="30"/>
      <w:sz w:val="72"/>
      <w:szCs w:val="72"/>
    </w:rPr>
  </w:style>
  <w:style w:type="character" w:styleId="SubttuloCar" w:customStyle="1">
    <w:name w:val="Subtítulo Car"/>
    <w:basedOn w:val="Fuentedeprrafopredeter"/>
    <w:link w:val="Subttulo"/>
    <w:uiPriority w:val="11"/>
    <w:rsid w:val="009C3F6B"/>
    <w:rPr>
      <w:color w:val="44546a" w:themeColor="text2"/>
      <w:sz w:val="28"/>
      <w:szCs w:val="28"/>
    </w:rPr>
  </w:style>
  <w:style w:type="character" w:styleId="Textoennegrita">
    <w:name w:val="Strong"/>
    <w:basedOn w:val="Fuentedeprrafopredeter"/>
    <w:uiPriority w:val="22"/>
    <w:qFormat w:val="1"/>
    <w:rsid w:val="009C3F6B"/>
    <w:rPr>
      <w:b w:val="1"/>
      <w:bCs w:val="1"/>
    </w:rPr>
  </w:style>
  <w:style w:type="character" w:styleId="nfasis">
    <w:name w:val="Emphasis"/>
    <w:basedOn w:val="Fuentedeprrafopredeter"/>
    <w:uiPriority w:val="20"/>
    <w:qFormat w:val="1"/>
    <w:rsid w:val="009C3F6B"/>
    <w:rPr>
      <w:i w:val="1"/>
      <w:iCs w:val="1"/>
      <w:color w:val="000000" w:themeColor="text1"/>
    </w:rPr>
  </w:style>
  <w:style w:type="paragraph" w:styleId="Sinespaciado">
    <w:name w:val="No Spacing"/>
    <w:uiPriority w:val="1"/>
    <w:qFormat w:val="1"/>
    <w:rsid w:val="009C3F6B"/>
    <w:pPr>
      <w:spacing w:after="0" w:line="240" w:lineRule="auto"/>
    </w:pPr>
  </w:style>
  <w:style w:type="paragraph" w:styleId="Cita">
    <w:name w:val="Quote"/>
    <w:basedOn w:val="Normal"/>
    <w:next w:val="Normal"/>
    <w:link w:val="CitaCar"/>
    <w:uiPriority w:val="29"/>
    <w:qFormat w:val="1"/>
    <w:rsid w:val="009C3F6B"/>
    <w:pPr>
      <w:spacing w:before="160"/>
      <w:ind w:left="720" w:right="720"/>
      <w:jc w:val="center"/>
    </w:pPr>
    <w:rPr>
      <w:i w:val="1"/>
      <w:iCs w:val="1"/>
      <w:color w:val="7b7b7b" w:themeColor="accent3" w:themeShade="0000BF"/>
      <w:sz w:val="24"/>
      <w:szCs w:val="24"/>
    </w:rPr>
  </w:style>
  <w:style w:type="character" w:styleId="CitaCar" w:customStyle="1">
    <w:name w:val="Cita Car"/>
    <w:basedOn w:val="Fuentedeprrafopredeter"/>
    <w:link w:val="Cita"/>
    <w:uiPriority w:val="29"/>
    <w:rsid w:val="009C3F6B"/>
    <w:rPr>
      <w:i w:val="1"/>
      <w:iCs w:val="1"/>
      <w:color w:val="7b7b7b" w:themeColor="accent3" w:themeShade="0000BF"/>
      <w:sz w:val="24"/>
      <w:szCs w:val="24"/>
    </w:rPr>
  </w:style>
  <w:style w:type="paragraph" w:styleId="Citadestacada">
    <w:name w:val="Intense Quote"/>
    <w:basedOn w:val="Normal"/>
    <w:next w:val="Normal"/>
    <w:link w:val="CitadestacadaCar"/>
    <w:uiPriority w:val="30"/>
    <w:qFormat w:val="1"/>
    <w:rsid w:val="009C3F6B"/>
    <w:pPr>
      <w:spacing w:before="160" w:line="276" w:lineRule="auto"/>
      <w:ind w:left="936" w:right="936"/>
      <w:jc w:val="center"/>
    </w:pPr>
    <w:rPr>
      <w:rFonts w:asciiTheme="majorHAnsi" w:cstheme="majorBidi" w:eastAsiaTheme="majorEastAsia" w:hAnsiTheme="majorHAnsi"/>
      <w:caps w:val="1"/>
      <w:color w:val="2f5496" w:themeColor="accent1" w:themeShade="0000BF"/>
      <w:sz w:val="28"/>
      <w:szCs w:val="28"/>
    </w:rPr>
  </w:style>
  <w:style w:type="character" w:styleId="CitadestacadaCar" w:customStyle="1">
    <w:name w:val="Cita destacada Car"/>
    <w:basedOn w:val="Fuentedeprrafopredeter"/>
    <w:link w:val="Citadestacada"/>
    <w:uiPriority w:val="30"/>
    <w:rsid w:val="009C3F6B"/>
    <w:rPr>
      <w:rFonts w:asciiTheme="majorHAnsi" w:cstheme="majorBidi" w:eastAsiaTheme="majorEastAsia" w:hAnsiTheme="majorHAnsi"/>
      <w:caps w:val="1"/>
      <w:color w:val="2f5496" w:themeColor="accent1" w:themeShade="0000BF"/>
      <w:sz w:val="28"/>
      <w:szCs w:val="28"/>
    </w:rPr>
  </w:style>
  <w:style w:type="character" w:styleId="nfasissutil">
    <w:name w:val="Subtle Emphasis"/>
    <w:basedOn w:val="Fuentedeprrafopredeter"/>
    <w:uiPriority w:val="19"/>
    <w:qFormat w:val="1"/>
    <w:rsid w:val="009C3F6B"/>
    <w:rPr>
      <w:i w:val="1"/>
      <w:iCs w:val="1"/>
      <w:color w:val="595959" w:themeColor="text1" w:themeTint="0000A6"/>
    </w:rPr>
  </w:style>
  <w:style w:type="character" w:styleId="nfasisintenso">
    <w:name w:val="Intense Emphasis"/>
    <w:basedOn w:val="Fuentedeprrafopredeter"/>
    <w:uiPriority w:val="21"/>
    <w:qFormat w:val="1"/>
    <w:rsid w:val="009C3F6B"/>
    <w:rPr>
      <w:b w:val="1"/>
      <w:bCs w:val="1"/>
      <w:i w:val="1"/>
      <w:iCs w:val="1"/>
      <w:color w:val="auto"/>
    </w:rPr>
  </w:style>
  <w:style w:type="character" w:styleId="Referenciasutil">
    <w:name w:val="Subtle Reference"/>
    <w:basedOn w:val="Fuentedeprrafopredeter"/>
    <w:uiPriority w:val="31"/>
    <w:qFormat w:val="1"/>
    <w:rsid w:val="009C3F6B"/>
    <w:rPr>
      <w:caps w:val="0"/>
      <w:smallCaps w:val="1"/>
      <w:color w:val="404040" w:themeColor="text1" w:themeTint="0000BF"/>
      <w:spacing w:val="0"/>
      <w:u w:color="7f7f7f" w:themeColor="text1" w:themeTint="000080" w:val="single"/>
    </w:rPr>
  </w:style>
  <w:style w:type="character" w:styleId="Referenciaintensa">
    <w:name w:val="Intense Reference"/>
    <w:basedOn w:val="Fuentedeprrafopredeter"/>
    <w:uiPriority w:val="32"/>
    <w:qFormat w:val="1"/>
    <w:rsid w:val="009C3F6B"/>
    <w:rPr>
      <w:b w:val="1"/>
      <w:bCs w:val="1"/>
      <w:caps w:val="0"/>
      <w:smallCaps w:val="1"/>
      <w:color w:val="auto"/>
      <w:spacing w:val="0"/>
      <w:u w:val="single"/>
    </w:rPr>
  </w:style>
  <w:style w:type="character" w:styleId="Ttulodellibro">
    <w:name w:val="Book Title"/>
    <w:basedOn w:val="Fuentedeprrafopredeter"/>
    <w:uiPriority w:val="33"/>
    <w:qFormat w:val="1"/>
    <w:rsid w:val="009C3F6B"/>
    <w:rPr>
      <w:b w:val="1"/>
      <w:bCs w:val="1"/>
      <w:caps w:val="0"/>
      <w:smallCaps w:val="1"/>
      <w:spacing w:val="0"/>
    </w:rPr>
  </w:style>
  <w:style w:type="paragraph" w:styleId="TtuloTDC">
    <w:name w:val="TOC Heading"/>
    <w:basedOn w:val="Ttulo1"/>
    <w:next w:val="Normal"/>
    <w:uiPriority w:val="39"/>
    <w:semiHidden w:val="1"/>
    <w:unhideWhenUsed w:val="1"/>
    <w:qFormat w:val="1"/>
    <w:rsid w:val="009C3F6B"/>
    <w:pPr>
      <w:outlineLvl w:val="9"/>
    </w:pPr>
  </w:style>
  <w:style w:type="paragraph" w:styleId="Encabezado">
    <w:name w:val="header"/>
    <w:basedOn w:val="Normal"/>
    <w:link w:val="EncabezadoCar"/>
    <w:uiPriority w:val="99"/>
    <w:unhideWhenUsed w:val="1"/>
    <w:rsid w:val="009C3F6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C3F6B"/>
  </w:style>
  <w:style w:type="paragraph" w:styleId="Piedepgina">
    <w:name w:val="footer"/>
    <w:basedOn w:val="Normal"/>
    <w:link w:val="PiedepginaCar"/>
    <w:uiPriority w:val="99"/>
    <w:unhideWhenUsed w:val="1"/>
    <w:rsid w:val="009C3F6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C3F6B"/>
  </w:style>
  <w:style w:type="paragraph" w:styleId="Prrafodelista">
    <w:name w:val="List Paragraph"/>
    <w:basedOn w:val="Normal"/>
    <w:uiPriority w:val="1"/>
    <w:qFormat w:val="1"/>
    <w:rsid w:val="009E3BFD"/>
    <w:pPr>
      <w:widowControl w:val="0"/>
      <w:autoSpaceDE w:val="0"/>
      <w:autoSpaceDN w:val="0"/>
      <w:spacing w:after="0" w:line="317" w:lineRule="exact"/>
      <w:ind w:left="2357" w:hanging="368"/>
    </w:pPr>
    <w:rPr>
      <w:rFonts w:ascii="Arial Black" w:cs="Arial Black" w:eastAsia="Arial Black" w:hAnsi="Arial Black"/>
      <w:sz w:val="22"/>
      <w:szCs w:val="22"/>
      <w:lang w:val="es-ES"/>
    </w:rPr>
  </w:style>
  <w:style w:type="paragraph" w:styleId="Subtitle">
    <w:name w:val="Subtitle"/>
    <w:basedOn w:val="Normal"/>
    <w:next w:val="Normal"/>
    <w:pPr>
      <w:jc w:val="center"/>
    </w:pPr>
    <w:rPr>
      <w:color w:val="44546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7+wOY89x1XzTerr3gKFyGcBtg==">CgMxLjA4AHIhMXlucG5BTzYtcEVZTVlJNjQ4RnNfOHF0Y25TS0l3ZzhX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2021-07-23T21:02:00Z</dcterms:created>
  <dc:creator>Inmunar Gerencia</dc:creator>
</cp:coreProperties>
</file>