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276" w:lineRule="auto"/>
        <w:jc w:val="center"/>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RESOLUCIÓN N° 007 DE (2025)</w:t>
      </w:r>
    </w:p>
    <w:p w:rsidR="00000000" w:rsidDel="00000000" w:rsidP="00000000" w:rsidRDefault="00000000" w:rsidRPr="00000000" w14:paraId="00000003">
      <w:pPr>
        <w:spacing w:line="276" w:lineRule="auto"/>
        <w:jc w:val="center"/>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(ENERO DE 2025)</w:t>
      </w:r>
    </w:p>
    <w:p w:rsidR="00000000" w:rsidDel="00000000" w:rsidP="00000000" w:rsidRDefault="00000000" w:rsidRPr="00000000" w14:paraId="00000004">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Por medio de la cual se actualizan y se establece la estructura y funciones del comité AMBIENTAL de ENDOCRINOLOGY &amp; HEALTH IPS.</w:t>
      </w:r>
    </w:p>
    <w:p w:rsidR="00000000" w:rsidDel="00000000" w:rsidP="00000000" w:rsidRDefault="00000000" w:rsidRPr="00000000" w14:paraId="00000005">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gerente de la IPS ENDOCRINOLOGY &amp; HEALTH, en uso de sus atribuciones que le confiere como representante legal</w:t>
      </w:r>
    </w:p>
    <w:p w:rsidR="00000000" w:rsidDel="00000000" w:rsidP="00000000" w:rsidRDefault="00000000" w:rsidRPr="00000000" w14:paraId="00000006">
      <w:pPr>
        <w:spacing w:line="276" w:lineRule="auto"/>
        <w:jc w:val="center"/>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CONSIDERANDO</w:t>
      </w:r>
    </w:p>
    <w:p w:rsidR="00000000" w:rsidDel="00000000" w:rsidP="00000000" w:rsidRDefault="00000000" w:rsidRPr="00000000" w14:paraId="00000007">
      <w:pPr>
        <w:spacing w:after="0" w:line="276"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uso de las facultades legales y, teniendo en cuenta la siguiente normatividad:</w:t>
      </w:r>
    </w:p>
    <w:p w:rsidR="00000000" w:rsidDel="00000000" w:rsidP="00000000" w:rsidRDefault="00000000" w:rsidRPr="00000000" w14:paraId="00000008">
      <w:pPr>
        <w:widowControl w:val="0"/>
        <w:numPr>
          <w:ilvl w:val="0"/>
          <w:numId w:val="1"/>
        </w:numPr>
        <w:spacing w:after="0" w:before="240" w:line="276" w:lineRule="auto"/>
        <w:ind w:left="720" w:hanging="360"/>
        <w:rPr>
          <w:rFonts w:ascii="Noto Sans Symbols" w:cs="Noto Sans Symbols" w:eastAsia="Noto Sans Symbols" w:hAnsi="Noto Sans Symbols"/>
          <w:sz w:val="22"/>
          <w:szCs w:val="22"/>
        </w:rPr>
      </w:pPr>
      <w:r w:rsidDel="00000000" w:rsidR="00000000" w:rsidRPr="00000000">
        <w:rPr>
          <w:rFonts w:ascii="Century Gothic" w:cs="Century Gothic" w:eastAsia="Century Gothic" w:hAnsi="Century Gothic"/>
          <w:b w:val="1"/>
          <w:sz w:val="22"/>
          <w:szCs w:val="22"/>
          <w:rtl w:val="0"/>
        </w:rPr>
        <w:t xml:space="preserve">Constitución Política de Colombia (Artículo 49):</w:t>
      </w:r>
      <w:r w:rsidDel="00000000" w:rsidR="00000000" w:rsidRPr="00000000">
        <w:rPr>
          <w:rFonts w:ascii="Century Gothic" w:cs="Century Gothic" w:eastAsia="Century Gothic" w:hAnsi="Century Gothic"/>
          <w:sz w:val="22"/>
          <w:szCs w:val="22"/>
          <w:rtl w:val="0"/>
        </w:rPr>
        <w:t xml:space="preserve"> Establece la salud como un derecho fundamental y un servicio público esencial.</w:t>
      </w:r>
      <w:r w:rsidDel="00000000" w:rsidR="00000000" w:rsidRPr="00000000">
        <w:rPr>
          <w:rtl w:val="0"/>
        </w:rPr>
      </w:r>
    </w:p>
    <w:p w:rsidR="00000000" w:rsidDel="00000000" w:rsidP="00000000" w:rsidRDefault="00000000" w:rsidRPr="00000000" w14:paraId="00000009">
      <w:pPr>
        <w:widowControl w:val="0"/>
        <w:numPr>
          <w:ilvl w:val="0"/>
          <w:numId w:val="1"/>
        </w:numPr>
        <w:spacing w:after="0" w:before="0" w:line="276" w:lineRule="auto"/>
        <w:ind w:left="720" w:hanging="360"/>
        <w:rPr>
          <w:rFonts w:ascii="Noto Sans Symbols" w:cs="Noto Sans Symbols" w:eastAsia="Noto Sans Symbols" w:hAnsi="Noto Sans Symbols"/>
          <w:sz w:val="22"/>
          <w:szCs w:val="22"/>
        </w:rPr>
      </w:pPr>
      <w:r w:rsidDel="00000000" w:rsidR="00000000" w:rsidRPr="00000000">
        <w:rPr>
          <w:rFonts w:ascii="Century Gothic" w:cs="Century Gothic" w:eastAsia="Century Gothic" w:hAnsi="Century Gothic"/>
          <w:b w:val="1"/>
          <w:sz w:val="22"/>
          <w:szCs w:val="22"/>
          <w:rtl w:val="0"/>
        </w:rPr>
        <w:t xml:space="preserve">Ley 9ª de 1979:</w:t>
      </w:r>
      <w:r w:rsidDel="00000000" w:rsidR="00000000" w:rsidRPr="00000000">
        <w:rPr>
          <w:rFonts w:ascii="Century Gothic" w:cs="Century Gothic" w:eastAsia="Century Gothic" w:hAnsi="Century Gothic"/>
          <w:sz w:val="22"/>
          <w:szCs w:val="22"/>
          <w:rtl w:val="0"/>
        </w:rPr>
        <w:t xml:space="preserve"> Código Sanitario Nacional, regula las condiciones sanitarias en el país.</w:t>
      </w:r>
      <w:r w:rsidDel="00000000" w:rsidR="00000000" w:rsidRPr="00000000">
        <w:rPr>
          <w:rtl w:val="0"/>
        </w:rPr>
      </w:r>
    </w:p>
    <w:p w:rsidR="00000000" w:rsidDel="00000000" w:rsidP="00000000" w:rsidRDefault="00000000" w:rsidRPr="00000000" w14:paraId="0000000A">
      <w:pPr>
        <w:widowControl w:val="0"/>
        <w:numPr>
          <w:ilvl w:val="0"/>
          <w:numId w:val="1"/>
        </w:numPr>
        <w:spacing w:after="0" w:before="0" w:line="276" w:lineRule="auto"/>
        <w:ind w:left="720" w:hanging="360"/>
        <w:rPr>
          <w:rFonts w:ascii="Noto Sans Symbols" w:cs="Noto Sans Symbols" w:eastAsia="Noto Sans Symbols" w:hAnsi="Noto Sans Symbols"/>
          <w:sz w:val="22"/>
          <w:szCs w:val="22"/>
        </w:rPr>
      </w:pPr>
      <w:r w:rsidDel="00000000" w:rsidR="00000000" w:rsidRPr="00000000">
        <w:rPr>
          <w:rFonts w:ascii="Century Gothic" w:cs="Century Gothic" w:eastAsia="Century Gothic" w:hAnsi="Century Gothic"/>
          <w:b w:val="1"/>
          <w:sz w:val="22"/>
          <w:szCs w:val="22"/>
          <w:rtl w:val="0"/>
        </w:rPr>
        <w:t xml:space="preserve">Ley 99 de 1993:</w:t>
      </w:r>
      <w:r w:rsidDel="00000000" w:rsidR="00000000" w:rsidRPr="00000000">
        <w:rPr>
          <w:rFonts w:ascii="Century Gothic" w:cs="Century Gothic" w:eastAsia="Century Gothic" w:hAnsi="Century Gothic"/>
          <w:sz w:val="22"/>
          <w:szCs w:val="22"/>
          <w:rtl w:val="0"/>
        </w:rPr>
        <w:t xml:space="preserve"> Crea el Ministerio del Medio Ambiente y establece los principios de la política ambiental en Colombia.</w:t>
      </w:r>
      <w:r w:rsidDel="00000000" w:rsidR="00000000" w:rsidRPr="00000000">
        <w:rPr>
          <w:rtl w:val="0"/>
        </w:rPr>
      </w:r>
    </w:p>
    <w:p w:rsidR="00000000" w:rsidDel="00000000" w:rsidP="00000000" w:rsidRDefault="00000000" w:rsidRPr="00000000" w14:paraId="0000000B">
      <w:pPr>
        <w:widowControl w:val="0"/>
        <w:numPr>
          <w:ilvl w:val="0"/>
          <w:numId w:val="1"/>
        </w:numPr>
        <w:spacing w:after="0" w:before="0" w:line="276" w:lineRule="auto"/>
        <w:ind w:left="720" w:hanging="360"/>
        <w:rPr>
          <w:rFonts w:ascii="Noto Sans Symbols" w:cs="Noto Sans Symbols" w:eastAsia="Noto Sans Symbols" w:hAnsi="Noto Sans Symbols"/>
          <w:sz w:val="22"/>
          <w:szCs w:val="22"/>
        </w:rPr>
      </w:pPr>
      <w:r w:rsidDel="00000000" w:rsidR="00000000" w:rsidRPr="00000000">
        <w:rPr>
          <w:rFonts w:ascii="Century Gothic" w:cs="Century Gothic" w:eastAsia="Century Gothic" w:hAnsi="Century Gothic"/>
          <w:b w:val="1"/>
          <w:sz w:val="22"/>
          <w:szCs w:val="22"/>
          <w:rtl w:val="0"/>
        </w:rPr>
        <w:t xml:space="preserve">Ley 691 de 2001:</w:t>
      </w:r>
      <w:r w:rsidDel="00000000" w:rsidR="00000000" w:rsidRPr="00000000">
        <w:rPr>
          <w:rFonts w:ascii="Century Gothic" w:cs="Century Gothic" w:eastAsia="Century Gothic" w:hAnsi="Century Gothic"/>
          <w:sz w:val="22"/>
          <w:szCs w:val="22"/>
          <w:rtl w:val="0"/>
        </w:rPr>
        <w:t xml:space="preserve"> Regula la participación de los grupos étnicos en el Sistema General de Seguridad Social en Salud.</w:t>
      </w:r>
      <w:r w:rsidDel="00000000" w:rsidR="00000000" w:rsidRPr="00000000">
        <w:rPr>
          <w:rtl w:val="0"/>
        </w:rPr>
      </w:r>
    </w:p>
    <w:p w:rsidR="00000000" w:rsidDel="00000000" w:rsidP="00000000" w:rsidRDefault="00000000" w:rsidRPr="00000000" w14:paraId="0000000C">
      <w:pPr>
        <w:widowControl w:val="0"/>
        <w:numPr>
          <w:ilvl w:val="0"/>
          <w:numId w:val="1"/>
        </w:numPr>
        <w:spacing w:after="0" w:before="0" w:line="276" w:lineRule="auto"/>
        <w:ind w:left="720" w:hanging="360"/>
        <w:rPr>
          <w:rFonts w:ascii="Noto Sans Symbols" w:cs="Noto Sans Symbols" w:eastAsia="Noto Sans Symbols" w:hAnsi="Noto Sans Symbols"/>
          <w:sz w:val="22"/>
          <w:szCs w:val="22"/>
        </w:rPr>
      </w:pPr>
      <w:r w:rsidDel="00000000" w:rsidR="00000000" w:rsidRPr="00000000">
        <w:rPr>
          <w:rFonts w:ascii="Century Gothic" w:cs="Century Gothic" w:eastAsia="Century Gothic" w:hAnsi="Century Gothic"/>
          <w:b w:val="1"/>
          <w:sz w:val="22"/>
          <w:szCs w:val="22"/>
          <w:rtl w:val="0"/>
        </w:rPr>
        <w:t xml:space="preserve">Ley 1124 de 2007:</w:t>
      </w:r>
      <w:r w:rsidDel="00000000" w:rsidR="00000000" w:rsidRPr="00000000">
        <w:rPr>
          <w:rFonts w:ascii="Century Gothic" w:cs="Century Gothic" w:eastAsia="Century Gothic" w:hAnsi="Century Gothic"/>
          <w:sz w:val="22"/>
          <w:szCs w:val="22"/>
          <w:rtl w:val="0"/>
        </w:rPr>
        <w:t xml:space="preserve"> Reglamenta la gestión ambiental en instituciones prestadoras de salud.</w:t>
      </w:r>
      <w:r w:rsidDel="00000000" w:rsidR="00000000" w:rsidRPr="00000000">
        <w:rPr>
          <w:rtl w:val="0"/>
        </w:rPr>
      </w:r>
    </w:p>
    <w:p w:rsidR="00000000" w:rsidDel="00000000" w:rsidP="00000000" w:rsidRDefault="00000000" w:rsidRPr="00000000" w14:paraId="0000000D">
      <w:pPr>
        <w:widowControl w:val="0"/>
        <w:numPr>
          <w:ilvl w:val="0"/>
          <w:numId w:val="1"/>
        </w:numPr>
        <w:spacing w:after="0" w:before="0" w:line="276" w:lineRule="auto"/>
        <w:ind w:left="720" w:hanging="360"/>
        <w:rPr>
          <w:rFonts w:ascii="Noto Sans Symbols" w:cs="Noto Sans Symbols" w:eastAsia="Noto Sans Symbols" w:hAnsi="Noto Sans Symbols"/>
          <w:sz w:val="22"/>
          <w:szCs w:val="22"/>
        </w:rPr>
      </w:pPr>
      <w:r w:rsidDel="00000000" w:rsidR="00000000" w:rsidRPr="00000000">
        <w:rPr>
          <w:rFonts w:ascii="Century Gothic" w:cs="Century Gothic" w:eastAsia="Century Gothic" w:hAnsi="Century Gothic"/>
          <w:b w:val="1"/>
          <w:sz w:val="22"/>
          <w:szCs w:val="22"/>
          <w:rtl w:val="0"/>
        </w:rPr>
        <w:t xml:space="preserve">Ley 1333 de 2009:</w:t>
      </w:r>
      <w:r w:rsidDel="00000000" w:rsidR="00000000" w:rsidRPr="00000000">
        <w:rPr>
          <w:rFonts w:ascii="Century Gothic" w:cs="Century Gothic" w:eastAsia="Century Gothic" w:hAnsi="Century Gothic"/>
          <w:sz w:val="22"/>
          <w:szCs w:val="22"/>
          <w:rtl w:val="0"/>
        </w:rPr>
        <w:t xml:space="preserve"> Procedimiento sancionatorio ambiental.</w:t>
      </w:r>
      <w:r w:rsidDel="00000000" w:rsidR="00000000" w:rsidRPr="00000000">
        <w:rPr>
          <w:rtl w:val="0"/>
        </w:rPr>
      </w:r>
    </w:p>
    <w:p w:rsidR="00000000" w:rsidDel="00000000" w:rsidP="00000000" w:rsidRDefault="00000000" w:rsidRPr="00000000" w14:paraId="0000000E">
      <w:pPr>
        <w:widowControl w:val="0"/>
        <w:numPr>
          <w:ilvl w:val="0"/>
          <w:numId w:val="1"/>
        </w:numPr>
        <w:spacing w:after="0" w:before="0" w:line="276" w:lineRule="auto"/>
        <w:ind w:left="720" w:hanging="360"/>
        <w:rPr>
          <w:rFonts w:ascii="Noto Sans Symbols" w:cs="Noto Sans Symbols" w:eastAsia="Noto Sans Symbols" w:hAnsi="Noto Sans Symbols"/>
          <w:sz w:val="22"/>
          <w:szCs w:val="22"/>
        </w:rPr>
      </w:pPr>
      <w:r w:rsidDel="00000000" w:rsidR="00000000" w:rsidRPr="00000000">
        <w:rPr>
          <w:rFonts w:ascii="Century Gothic" w:cs="Century Gothic" w:eastAsia="Century Gothic" w:hAnsi="Century Gothic"/>
          <w:b w:val="1"/>
          <w:sz w:val="22"/>
          <w:szCs w:val="22"/>
          <w:rtl w:val="0"/>
        </w:rPr>
        <w:t xml:space="preserve">Ley 1523 de 2012:</w:t>
      </w:r>
      <w:r w:rsidDel="00000000" w:rsidR="00000000" w:rsidRPr="00000000">
        <w:rPr>
          <w:rFonts w:ascii="Century Gothic" w:cs="Century Gothic" w:eastAsia="Century Gothic" w:hAnsi="Century Gothic"/>
          <w:sz w:val="22"/>
          <w:szCs w:val="22"/>
          <w:rtl w:val="0"/>
        </w:rPr>
        <w:t xml:space="preserve"> Política Nacional de Gestión del Riesgo de Desastres.</w:t>
      </w:r>
      <w:r w:rsidDel="00000000" w:rsidR="00000000" w:rsidRPr="00000000">
        <w:rPr>
          <w:rtl w:val="0"/>
        </w:rPr>
      </w:r>
    </w:p>
    <w:p w:rsidR="00000000" w:rsidDel="00000000" w:rsidP="00000000" w:rsidRDefault="00000000" w:rsidRPr="00000000" w14:paraId="0000000F">
      <w:pPr>
        <w:widowControl w:val="0"/>
        <w:numPr>
          <w:ilvl w:val="0"/>
          <w:numId w:val="1"/>
        </w:numPr>
        <w:spacing w:after="0" w:before="0" w:line="276" w:lineRule="auto"/>
        <w:ind w:left="720" w:hanging="360"/>
        <w:rPr>
          <w:rFonts w:ascii="Noto Sans Symbols" w:cs="Noto Sans Symbols" w:eastAsia="Noto Sans Symbols" w:hAnsi="Noto Sans Symbols"/>
          <w:sz w:val="22"/>
          <w:szCs w:val="22"/>
        </w:rPr>
      </w:pPr>
      <w:r w:rsidDel="00000000" w:rsidR="00000000" w:rsidRPr="00000000">
        <w:rPr>
          <w:rFonts w:ascii="Century Gothic" w:cs="Century Gothic" w:eastAsia="Century Gothic" w:hAnsi="Century Gothic"/>
          <w:b w:val="1"/>
          <w:sz w:val="22"/>
          <w:szCs w:val="22"/>
          <w:rtl w:val="0"/>
        </w:rPr>
        <w:t xml:space="preserve">Ley 1751 de 2015:</w:t>
      </w:r>
      <w:r w:rsidDel="00000000" w:rsidR="00000000" w:rsidRPr="00000000">
        <w:rPr>
          <w:rFonts w:ascii="Century Gothic" w:cs="Century Gothic" w:eastAsia="Century Gothic" w:hAnsi="Century Gothic"/>
          <w:sz w:val="22"/>
          <w:szCs w:val="22"/>
          <w:rtl w:val="0"/>
        </w:rPr>
        <w:t xml:space="preserve"> Ley Estatutaria de Salud, define la salud como un derecho fundamental autónomo e irrenunciable.</w:t>
      </w:r>
      <w:r w:rsidDel="00000000" w:rsidR="00000000" w:rsidRPr="00000000">
        <w:rPr>
          <w:rtl w:val="0"/>
        </w:rPr>
      </w:r>
    </w:p>
    <w:p w:rsidR="00000000" w:rsidDel="00000000" w:rsidP="00000000" w:rsidRDefault="00000000" w:rsidRPr="00000000" w14:paraId="00000010">
      <w:pPr>
        <w:widowControl w:val="0"/>
        <w:numPr>
          <w:ilvl w:val="0"/>
          <w:numId w:val="1"/>
        </w:numPr>
        <w:spacing w:after="0" w:before="0" w:line="276" w:lineRule="auto"/>
        <w:ind w:left="720" w:hanging="360"/>
        <w:rPr>
          <w:rFonts w:ascii="Noto Sans Symbols" w:cs="Noto Sans Symbols" w:eastAsia="Noto Sans Symbols" w:hAnsi="Noto Sans Symbols"/>
          <w:sz w:val="22"/>
          <w:szCs w:val="22"/>
        </w:rPr>
      </w:pPr>
      <w:r w:rsidDel="00000000" w:rsidR="00000000" w:rsidRPr="00000000">
        <w:rPr>
          <w:rFonts w:ascii="Century Gothic" w:cs="Century Gothic" w:eastAsia="Century Gothic" w:hAnsi="Century Gothic"/>
          <w:b w:val="1"/>
          <w:sz w:val="22"/>
          <w:szCs w:val="22"/>
          <w:rtl w:val="0"/>
        </w:rPr>
        <w:t xml:space="preserve">Decreto 1076 de 2015:</w:t>
      </w:r>
      <w:r w:rsidDel="00000000" w:rsidR="00000000" w:rsidRPr="00000000">
        <w:rPr>
          <w:rFonts w:ascii="Century Gothic" w:cs="Century Gothic" w:eastAsia="Century Gothic" w:hAnsi="Century Gothic"/>
          <w:sz w:val="22"/>
          <w:szCs w:val="22"/>
          <w:rtl w:val="0"/>
        </w:rPr>
        <w:t xml:space="preserve"> Decreto Único Reglamentario del Sector Ambiente y Desarrollo Sostenible.</w:t>
      </w:r>
      <w:r w:rsidDel="00000000" w:rsidR="00000000" w:rsidRPr="00000000">
        <w:rPr>
          <w:rtl w:val="0"/>
        </w:rPr>
      </w:r>
    </w:p>
    <w:p w:rsidR="00000000" w:rsidDel="00000000" w:rsidP="00000000" w:rsidRDefault="00000000" w:rsidRPr="00000000" w14:paraId="00000011">
      <w:pPr>
        <w:widowControl w:val="0"/>
        <w:numPr>
          <w:ilvl w:val="0"/>
          <w:numId w:val="1"/>
        </w:numPr>
        <w:spacing w:after="0" w:before="0" w:line="276" w:lineRule="auto"/>
        <w:ind w:left="720" w:hanging="360"/>
        <w:rPr>
          <w:rFonts w:ascii="Noto Sans Symbols" w:cs="Noto Sans Symbols" w:eastAsia="Noto Sans Symbols" w:hAnsi="Noto Sans Symbols"/>
          <w:sz w:val="22"/>
          <w:szCs w:val="22"/>
        </w:rPr>
      </w:pPr>
      <w:r w:rsidDel="00000000" w:rsidR="00000000" w:rsidRPr="00000000">
        <w:rPr>
          <w:rFonts w:ascii="Century Gothic" w:cs="Century Gothic" w:eastAsia="Century Gothic" w:hAnsi="Century Gothic"/>
          <w:b w:val="1"/>
          <w:sz w:val="22"/>
          <w:szCs w:val="22"/>
          <w:rtl w:val="0"/>
        </w:rPr>
        <w:t xml:space="preserve">Decreto 780 de 2016:</w:t>
      </w:r>
      <w:r w:rsidDel="00000000" w:rsidR="00000000" w:rsidRPr="00000000">
        <w:rPr>
          <w:rFonts w:ascii="Century Gothic" w:cs="Century Gothic" w:eastAsia="Century Gothic" w:hAnsi="Century Gothic"/>
          <w:sz w:val="22"/>
          <w:szCs w:val="22"/>
          <w:rtl w:val="0"/>
        </w:rPr>
        <w:t xml:space="preserve"> Decreto Único Reglamentario del Sector Salud y Protección Social.</w:t>
      </w:r>
      <w:r w:rsidDel="00000000" w:rsidR="00000000" w:rsidRPr="00000000">
        <w:rPr>
          <w:rtl w:val="0"/>
        </w:rPr>
      </w:r>
    </w:p>
    <w:p w:rsidR="00000000" w:rsidDel="00000000" w:rsidP="00000000" w:rsidRDefault="00000000" w:rsidRPr="00000000" w14:paraId="00000012">
      <w:pPr>
        <w:widowControl w:val="0"/>
        <w:numPr>
          <w:ilvl w:val="0"/>
          <w:numId w:val="1"/>
        </w:numPr>
        <w:spacing w:after="0" w:before="0" w:line="276" w:lineRule="auto"/>
        <w:ind w:left="720" w:hanging="360"/>
        <w:rPr>
          <w:rFonts w:ascii="Noto Sans Symbols" w:cs="Noto Sans Symbols" w:eastAsia="Noto Sans Symbols" w:hAnsi="Noto Sans Symbols"/>
          <w:sz w:val="22"/>
          <w:szCs w:val="22"/>
        </w:rPr>
      </w:pPr>
      <w:r w:rsidDel="00000000" w:rsidR="00000000" w:rsidRPr="00000000">
        <w:rPr>
          <w:rFonts w:ascii="Century Gothic" w:cs="Century Gothic" w:eastAsia="Century Gothic" w:hAnsi="Century Gothic"/>
          <w:b w:val="1"/>
          <w:sz w:val="22"/>
          <w:szCs w:val="22"/>
          <w:rtl w:val="0"/>
        </w:rPr>
        <w:t xml:space="preserve">Resolución 3100 de 2019:</w:t>
      </w:r>
      <w:r w:rsidDel="00000000" w:rsidR="00000000" w:rsidRPr="00000000">
        <w:rPr>
          <w:rFonts w:ascii="Century Gothic" w:cs="Century Gothic" w:eastAsia="Century Gothic" w:hAnsi="Century Gothic"/>
          <w:sz w:val="22"/>
          <w:szCs w:val="22"/>
          <w:rtl w:val="0"/>
        </w:rPr>
        <w:t xml:space="preserve"> Define las condiciones de habilitación para la prestación de servicios de salud en Colombia.</w:t>
      </w:r>
      <w:r w:rsidDel="00000000" w:rsidR="00000000" w:rsidRPr="00000000">
        <w:rPr>
          <w:rtl w:val="0"/>
        </w:rPr>
      </w:r>
    </w:p>
    <w:p w:rsidR="00000000" w:rsidDel="00000000" w:rsidP="00000000" w:rsidRDefault="00000000" w:rsidRPr="00000000" w14:paraId="00000013">
      <w:pPr>
        <w:widowControl w:val="0"/>
        <w:numPr>
          <w:ilvl w:val="0"/>
          <w:numId w:val="1"/>
        </w:numPr>
        <w:spacing w:after="0" w:before="0" w:line="276" w:lineRule="auto"/>
        <w:ind w:left="720" w:hanging="360"/>
        <w:rPr>
          <w:rFonts w:ascii="Noto Sans Symbols" w:cs="Noto Sans Symbols" w:eastAsia="Noto Sans Symbols" w:hAnsi="Noto Sans Symbols"/>
          <w:sz w:val="22"/>
          <w:szCs w:val="22"/>
        </w:rPr>
      </w:pPr>
      <w:r w:rsidDel="00000000" w:rsidR="00000000" w:rsidRPr="00000000">
        <w:rPr>
          <w:rFonts w:ascii="Century Gothic" w:cs="Century Gothic" w:eastAsia="Century Gothic" w:hAnsi="Century Gothic"/>
          <w:b w:val="1"/>
          <w:sz w:val="22"/>
          <w:szCs w:val="22"/>
          <w:rtl w:val="0"/>
        </w:rPr>
        <w:t xml:space="preserve">Resolución 2184 de 2019:</w:t>
      </w:r>
      <w:r w:rsidDel="00000000" w:rsidR="00000000" w:rsidRPr="00000000">
        <w:rPr>
          <w:rFonts w:ascii="Century Gothic" w:cs="Century Gothic" w:eastAsia="Century Gothic" w:hAnsi="Century Gothic"/>
          <w:sz w:val="22"/>
          <w:szCs w:val="22"/>
          <w:rtl w:val="0"/>
        </w:rPr>
        <w:t xml:space="preserve"> Regula la gestión integral de residuos peligrosos en establecimientos de salud y sus similares.</w:t>
      </w:r>
      <w:r w:rsidDel="00000000" w:rsidR="00000000" w:rsidRPr="00000000">
        <w:rPr>
          <w:rtl w:val="0"/>
        </w:rPr>
      </w:r>
    </w:p>
    <w:p w:rsidR="00000000" w:rsidDel="00000000" w:rsidP="00000000" w:rsidRDefault="00000000" w:rsidRPr="00000000" w14:paraId="00000014">
      <w:pPr>
        <w:widowControl w:val="0"/>
        <w:numPr>
          <w:ilvl w:val="0"/>
          <w:numId w:val="1"/>
        </w:numPr>
        <w:spacing w:after="0" w:before="0" w:line="276" w:lineRule="auto"/>
        <w:ind w:left="720" w:hanging="360"/>
        <w:rPr>
          <w:rFonts w:ascii="Noto Sans Symbols" w:cs="Noto Sans Symbols" w:eastAsia="Noto Sans Symbols" w:hAnsi="Noto Sans Symbols"/>
          <w:sz w:val="22"/>
          <w:szCs w:val="22"/>
        </w:rPr>
      </w:pPr>
      <w:r w:rsidDel="00000000" w:rsidR="00000000" w:rsidRPr="00000000">
        <w:rPr>
          <w:rFonts w:ascii="Century Gothic" w:cs="Century Gothic" w:eastAsia="Century Gothic" w:hAnsi="Century Gothic"/>
          <w:b w:val="1"/>
          <w:sz w:val="22"/>
          <w:szCs w:val="22"/>
          <w:rtl w:val="0"/>
        </w:rPr>
        <w:t xml:space="preserve">Resolución 666 de 2020:</w:t>
      </w:r>
      <w:r w:rsidDel="00000000" w:rsidR="00000000" w:rsidRPr="00000000">
        <w:rPr>
          <w:rFonts w:ascii="Century Gothic" w:cs="Century Gothic" w:eastAsia="Century Gothic" w:hAnsi="Century Gothic"/>
          <w:sz w:val="22"/>
          <w:szCs w:val="22"/>
          <w:rtl w:val="0"/>
        </w:rPr>
        <w:t xml:space="preserve"> Lineamientos generales de bioseguridad para mitigar el riesgo de transmisión del COVID-19 en el sector salud (aplicable según necesidad institucional).</w:t>
      </w:r>
      <w:r w:rsidDel="00000000" w:rsidR="00000000" w:rsidRPr="00000000">
        <w:rPr>
          <w:rtl w:val="0"/>
        </w:rPr>
      </w:r>
    </w:p>
    <w:p w:rsidR="00000000" w:rsidDel="00000000" w:rsidP="00000000" w:rsidRDefault="00000000" w:rsidRPr="00000000" w14:paraId="00000015">
      <w:pPr>
        <w:widowControl w:val="0"/>
        <w:numPr>
          <w:ilvl w:val="0"/>
          <w:numId w:val="1"/>
        </w:numPr>
        <w:spacing w:after="0" w:before="0" w:line="276" w:lineRule="auto"/>
        <w:ind w:left="720" w:hanging="360"/>
        <w:rPr>
          <w:rFonts w:ascii="Noto Sans Symbols" w:cs="Noto Sans Symbols" w:eastAsia="Noto Sans Symbols" w:hAnsi="Noto Sans Symbols"/>
          <w:sz w:val="22"/>
          <w:szCs w:val="22"/>
        </w:rPr>
      </w:pPr>
      <w:r w:rsidDel="00000000" w:rsidR="00000000" w:rsidRPr="00000000">
        <w:rPr>
          <w:rFonts w:ascii="Century Gothic" w:cs="Century Gothic" w:eastAsia="Century Gothic" w:hAnsi="Century Gothic"/>
          <w:b w:val="1"/>
          <w:sz w:val="22"/>
          <w:szCs w:val="22"/>
          <w:rtl w:val="0"/>
        </w:rPr>
        <w:t xml:space="preserve">Resolución 752 de 2021:</w:t>
      </w:r>
      <w:r w:rsidDel="00000000" w:rsidR="00000000" w:rsidRPr="00000000">
        <w:rPr>
          <w:rFonts w:ascii="Century Gothic" w:cs="Century Gothic" w:eastAsia="Century Gothic" w:hAnsi="Century Gothic"/>
          <w:sz w:val="22"/>
          <w:szCs w:val="22"/>
          <w:rtl w:val="0"/>
        </w:rPr>
        <w:t xml:space="preserve"> Establece los lineamientos técnicos para la gestión ambiental en el sector salud.</w:t>
      </w:r>
      <w:r w:rsidDel="00000000" w:rsidR="00000000" w:rsidRPr="00000000">
        <w:rPr>
          <w:rtl w:val="0"/>
        </w:rPr>
      </w:r>
    </w:p>
    <w:p w:rsidR="00000000" w:rsidDel="00000000" w:rsidP="00000000" w:rsidRDefault="00000000" w:rsidRPr="00000000" w14:paraId="00000016">
      <w:pPr>
        <w:widowControl w:val="0"/>
        <w:numPr>
          <w:ilvl w:val="0"/>
          <w:numId w:val="1"/>
        </w:numPr>
        <w:spacing w:after="240" w:before="0" w:line="276" w:lineRule="auto"/>
        <w:ind w:left="720" w:hanging="360"/>
        <w:rPr>
          <w:rFonts w:ascii="Noto Sans Symbols" w:cs="Noto Sans Symbols" w:eastAsia="Noto Sans Symbols" w:hAnsi="Noto Sans Symbols"/>
          <w:sz w:val="22"/>
          <w:szCs w:val="22"/>
        </w:rPr>
      </w:pPr>
      <w:r w:rsidDel="00000000" w:rsidR="00000000" w:rsidRPr="00000000">
        <w:rPr>
          <w:rFonts w:ascii="Century Gothic" w:cs="Century Gothic" w:eastAsia="Century Gothic" w:hAnsi="Century Gothic"/>
          <w:b w:val="1"/>
          <w:sz w:val="22"/>
          <w:szCs w:val="22"/>
          <w:rtl w:val="0"/>
        </w:rPr>
        <w:t xml:space="preserve">Resolución 2338 de 2023:</w:t>
      </w:r>
      <w:r w:rsidDel="00000000" w:rsidR="00000000" w:rsidRPr="00000000">
        <w:rPr>
          <w:rFonts w:ascii="Century Gothic" w:cs="Century Gothic" w:eastAsia="Century Gothic" w:hAnsi="Century Gothic"/>
          <w:sz w:val="22"/>
          <w:szCs w:val="22"/>
          <w:rtl w:val="0"/>
        </w:rPr>
        <w:t xml:space="preserve"> Modifica la Resolución 2184 de 2019 en aspectos técnicos relacionados con la gestión de residuos en salud.</w:t>
      </w:r>
      <w:r w:rsidDel="00000000" w:rsidR="00000000" w:rsidRPr="00000000">
        <w:rPr>
          <w:rtl w:val="0"/>
        </w:rPr>
      </w:r>
    </w:p>
    <w:p w:rsidR="00000000" w:rsidDel="00000000" w:rsidP="00000000" w:rsidRDefault="00000000" w:rsidRPr="00000000" w14:paraId="00000017">
      <w:pPr>
        <w:spacing w:after="0"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DECIDE CONFORMAR EL COMITÉ GRUPO ADMINISTRATIVO DE GESTIÓN AMBIENTAL Y ADMINISTRATIVA cuyo objetivo primordial es gestionar la implementación y desarrollo óptimo del plan de gestión integral de residuos generados en la atención en salud y otras actividades, velando por su permanente actualización y evaluación acorde con la normatividad vigente.</w:t>
      </w:r>
    </w:p>
    <w:p w:rsidR="00000000" w:rsidDel="00000000" w:rsidP="00000000" w:rsidRDefault="00000000" w:rsidRPr="00000000" w14:paraId="00000018">
      <w:pPr>
        <w:spacing w:after="0"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19">
      <w:pPr>
        <w:spacing w:after="0"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Los INTEGRANTES del comité en adelante son:</w:t>
      </w:r>
    </w:p>
    <w:p w:rsidR="00000000" w:rsidDel="00000000" w:rsidP="00000000" w:rsidRDefault="00000000" w:rsidRPr="00000000" w14:paraId="0000001A">
      <w:pPr>
        <w:numPr>
          <w:ilvl w:val="0"/>
          <w:numId w:val="4"/>
        </w:numPr>
        <w:spacing w:after="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Gerente </w:t>
      </w:r>
    </w:p>
    <w:p w:rsidR="00000000" w:rsidDel="00000000" w:rsidP="00000000" w:rsidRDefault="00000000" w:rsidRPr="00000000" w14:paraId="0000001B">
      <w:pPr>
        <w:numPr>
          <w:ilvl w:val="0"/>
          <w:numId w:val="4"/>
        </w:numPr>
        <w:spacing w:after="0" w:line="276" w:lineRule="auto"/>
        <w:ind w:left="720" w:hanging="360"/>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sz w:val="22"/>
          <w:szCs w:val="22"/>
          <w:rtl w:val="0"/>
        </w:rPr>
        <w:t xml:space="preserve">Auxiliar de Servicios Generales</w:t>
      </w:r>
      <w:r w:rsidDel="00000000" w:rsidR="00000000" w:rsidRPr="00000000">
        <w:rPr>
          <w:rtl w:val="0"/>
        </w:rPr>
      </w:r>
    </w:p>
    <w:p w:rsidR="00000000" w:rsidDel="00000000" w:rsidP="00000000" w:rsidRDefault="00000000" w:rsidRPr="00000000" w14:paraId="0000001C">
      <w:pPr>
        <w:numPr>
          <w:ilvl w:val="0"/>
          <w:numId w:val="4"/>
        </w:numPr>
        <w:spacing w:after="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Asesor de Calidad</w:t>
      </w:r>
    </w:p>
    <w:p w:rsidR="00000000" w:rsidDel="00000000" w:rsidP="00000000" w:rsidRDefault="00000000" w:rsidRPr="00000000" w14:paraId="0000001D">
      <w:pPr>
        <w:numPr>
          <w:ilvl w:val="0"/>
          <w:numId w:val="4"/>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Auxiliar administrativa</w:t>
      </w:r>
      <w:r w:rsidDel="00000000" w:rsidR="00000000" w:rsidRPr="00000000">
        <w:rPr>
          <w:rtl w:val="0"/>
        </w:rPr>
      </w:r>
    </w:p>
    <w:p w:rsidR="00000000" w:rsidDel="00000000" w:rsidP="00000000" w:rsidRDefault="00000000" w:rsidRPr="00000000" w14:paraId="0000001E">
      <w:pPr>
        <w:spacing w:after="0" w:line="276" w:lineRule="auto"/>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sz w:val="22"/>
          <w:szCs w:val="22"/>
          <w:rtl w:val="0"/>
        </w:rPr>
        <w:t xml:space="preserve">El líder del presente comité será el Asesor de Calidad</w:t>
      </w:r>
      <w:r w:rsidDel="00000000" w:rsidR="00000000" w:rsidRPr="00000000">
        <w:rPr>
          <w:rtl w:val="0"/>
        </w:rPr>
      </w:r>
    </w:p>
    <w:p w:rsidR="00000000" w:rsidDel="00000000" w:rsidP="00000000" w:rsidRDefault="00000000" w:rsidRPr="00000000" w14:paraId="0000001F">
      <w:pPr>
        <w:spacing w:after="0" w:line="276" w:lineRule="auto"/>
        <w:ind w:left="720" w:firstLine="0"/>
        <w:jc w:val="both"/>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020">
      <w:pPr>
        <w:spacing w:after="0"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Comité de prevención y control de infecciones deberá desarrollar, como mínimo, las siguientes FUNCIONES: </w:t>
      </w:r>
    </w:p>
    <w:p w:rsidR="00000000" w:rsidDel="00000000" w:rsidP="00000000" w:rsidRDefault="00000000" w:rsidRPr="00000000" w14:paraId="00000021">
      <w:pPr>
        <w:spacing w:after="0" w:line="240"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22">
      <w:pPr>
        <w:numPr>
          <w:ilvl w:val="0"/>
          <w:numId w:val="3"/>
        </w:numPr>
        <w:spacing w:after="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Diseñar el plan de gestión integral de residuos generados en la atención en salud  y otras actividades y velar por la ejecución del mismo.</w:t>
      </w:r>
    </w:p>
    <w:p w:rsidR="00000000" w:rsidDel="00000000" w:rsidP="00000000" w:rsidRDefault="00000000" w:rsidRPr="00000000" w14:paraId="00000023">
      <w:pPr>
        <w:numPr>
          <w:ilvl w:val="0"/>
          <w:numId w:val="3"/>
        </w:numPr>
        <w:spacing w:after="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Hacer cumplir las directrices ambientales consignadas en el PGIRASA de los residuos producidos por la institución.</w:t>
      </w:r>
    </w:p>
    <w:p w:rsidR="00000000" w:rsidDel="00000000" w:rsidP="00000000" w:rsidRDefault="00000000" w:rsidRPr="00000000" w14:paraId="00000024">
      <w:pPr>
        <w:numPr>
          <w:ilvl w:val="0"/>
          <w:numId w:val="3"/>
        </w:numPr>
        <w:spacing w:after="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Gestionar la realización de inversiones en infraestructura, dotación, capacitación, y recurso humano que se requiera para la adecuada ejecución del plan de gestión integral.</w:t>
      </w:r>
    </w:p>
    <w:p w:rsidR="00000000" w:rsidDel="00000000" w:rsidP="00000000" w:rsidRDefault="00000000" w:rsidRPr="00000000" w14:paraId="00000025">
      <w:pPr>
        <w:numPr>
          <w:ilvl w:val="0"/>
          <w:numId w:val="3"/>
        </w:numPr>
        <w:spacing w:after="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Realizar seguimiento periódico, verificando el cumplimiento por parte del personal asistencial de los protocolos de manejo, recolección, transporte y almacenamiento de los residuos sólidos.</w:t>
      </w:r>
    </w:p>
    <w:p w:rsidR="00000000" w:rsidDel="00000000" w:rsidP="00000000" w:rsidRDefault="00000000" w:rsidRPr="00000000" w14:paraId="00000026">
      <w:pPr>
        <w:numPr>
          <w:ilvl w:val="0"/>
          <w:numId w:val="3"/>
        </w:numPr>
        <w:spacing w:after="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Gestionar, el presupuesto para el desarrollo del plan de gestión integral de residuos generados en la atención en salud y otras actividades}</w:t>
      </w:r>
    </w:p>
    <w:p w:rsidR="00000000" w:rsidDel="00000000" w:rsidP="00000000" w:rsidRDefault="00000000" w:rsidRPr="00000000" w14:paraId="00000027">
      <w:pPr>
        <w:numPr>
          <w:ilvl w:val="0"/>
          <w:numId w:val="3"/>
        </w:numPr>
        <w:spacing w:after="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Capacitar de manera continua de acuerdo al cronograma establecido al personal responsable del adecuado manejo de los residuos generados en la institución.</w:t>
      </w:r>
    </w:p>
    <w:p w:rsidR="00000000" w:rsidDel="00000000" w:rsidP="00000000" w:rsidRDefault="00000000" w:rsidRPr="00000000" w14:paraId="00000028">
      <w:pPr>
        <w:numPr>
          <w:ilvl w:val="0"/>
          <w:numId w:val="3"/>
        </w:numPr>
        <w:spacing w:after="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Asesorar de manera permanente a todo el personal involucrado en manejo de los residuos acerca de los interrogantes derivados de su actividad diaria.</w:t>
      </w:r>
    </w:p>
    <w:p w:rsidR="00000000" w:rsidDel="00000000" w:rsidP="00000000" w:rsidRDefault="00000000" w:rsidRPr="00000000" w14:paraId="00000029">
      <w:pPr>
        <w:numPr>
          <w:ilvl w:val="0"/>
          <w:numId w:val="3"/>
        </w:numPr>
        <w:spacing w:after="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Coordinar con las respectivas áreas específicas productoras de residuos, el desarrollo de las actividades relacionadas con el manejo, recolección, desactivación, transporte y almacenamiento de los residuos de interés sanitario y ambiental.</w:t>
      </w:r>
    </w:p>
    <w:p w:rsidR="00000000" w:rsidDel="00000000" w:rsidP="00000000" w:rsidRDefault="00000000" w:rsidRPr="00000000" w14:paraId="0000002A">
      <w:pPr>
        <w:numPr>
          <w:ilvl w:val="0"/>
          <w:numId w:val="3"/>
        </w:numPr>
        <w:spacing w:after="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Presentar informes mensuales sobre los resultados de su gestión y facilitar la retroalimentación para la toma de correctivos oportunos.</w:t>
      </w:r>
    </w:p>
    <w:p w:rsidR="00000000" w:rsidDel="00000000" w:rsidP="00000000" w:rsidRDefault="00000000" w:rsidRPr="00000000" w14:paraId="0000002B">
      <w:pPr>
        <w:numPr>
          <w:ilvl w:val="0"/>
          <w:numId w:val="3"/>
        </w:numPr>
        <w:spacing w:after="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Elaborar informes y reportes a las autoridades de vigilancia y control.</w:t>
      </w:r>
    </w:p>
    <w:p w:rsidR="00000000" w:rsidDel="00000000" w:rsidP="00000000" w:rsidRDefault="00000000" w:rsidRPr="00000000" w14:paraId="0000002C">
      <w:pPr>
        <w:numPr>
          <w:ilvl w:val="0"/>
          <w:numId w:val="3"/>
        </w:numPr>
        <w:spacing w:after="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Velar por el correcto diligenciamiento de los registros establecidos.</w:t>
      </w:r>
    </w:p>
    <w:p w:rsidR="00000000" w:rsidDel="00000000" w:rsidP="00000000" w:rsidRDefault="00000000" w:rsidRPr="00000000" w14:paraId="0000002D">
      <w:pPr>
        <w:numPr>
          <w:ilvl w:val="0"/>
          <w:numId w:val="3"/>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Elaborar planes de mejoramiento e implementar acciones preventivas y correctivas de acuerdo con las oportunidades de mejora detectadas</w:t>
      </w:r>
    </w:p>
    <w:p w:rsidR="00000000" w:rsidDel="00000000" w:rsidP="00000000" w:rsidRDefault="00000000" w:rsidRPr="00000000" w14:paraId="0000002E">
      <w:pPr>
        <w:shd w:fill="ffffff" w:val="clear"/>
        <w:spacing w:after="0" w:line="276" w:lineRule="auto"/>
        <w:ind w:left="36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FUNCIONES DEL LÍDER DEL COMITÉ:</w:t>
      </w:r>
    </w:p>
    <w:p w:rsidR="00000000" w:rsidDel="00000000" w:rsidP="00000000" w:rsidRDefault="00000000" w:rsidRPr="00000000" w14:paraId="0000002F">
      <w:pPr>
        <w:shd w:fill="ffffff" w:val="clear"/>
        <w:spacing w:after="0" w:line="276" w:lineRule="auto"/>
        <w:ind w:left="36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0">
      <w:pPr>
        <w:numPr>
          <w:ilvl w:val="0"/>
          <w:numId w:val="2"/>
        </w:numPr>
        <w:spacing w:after="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Liderar el comité de Gestión Sanitaria y Ambiental.</w:t>
      </w:r>
    </w:p>
    <w:p w:rsidR="00000000" w:rsidDel="00000000" w:rsidP="00000000" w:rsidRDefault="00000000" w:rsidRPr="00000000" w14:paraId="00000031">
      <w:pPr>
        <w:numPr>
          <w:ilvl w:val="0"/>
          <w:numId w:val="2"/>
        </w:numPr>
        <w:spacing w:after="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Convocar a las reuniones ordinarias y extraordinarias que se requieran.</w:t>
      </w:r>
    </w:p>
    <w:p w:rsidR="00000000" w:rsidDel="00000000" w:rsidP="00000000" w:rsidRDefault="00000000" w:rsidRPr="00000000" w14:paraId="00000032">
      <w:pPr>
        <w:numPr>
          <w:ilvl w:val="0"/>
          <w:numId w:val="2"/>
        </w:numPr>
        <w:spacing w:after="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Definir los temas a tratar en el orden del día de las reuniones teniendo en cuenta las prioridades de la institución y el desarrollo del plan de actividades.</w:t>
      </w:r>
    </w:p>
    <w:p w:rsidR="00000000" w:rsidDel="00000000" w:rsidP="00000000" w:rsidRDefault="00000000" w:rsidRPr="00000000" w14:paraId="00000033">
      <w:pPr>
        <w:numPr>
          <w:ilvl w:val="0"/>
          <w:numId w:val="2"/>
        </w:numPr>
        <w:spacing w:after="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Hacer seguimiento al plan de acción propuesto durante las reuniones del comité.</w:t>
      </w:r>
    </w:p>
    <w:p w:rsidR="00000000" w:rsidDel="00000000" w:rsidP="00000000" w:rsidRDefault="00000000" w:rsidRPr="00000000" w14:paraId="00000034">
      <w:pPr>
        <w:numPr>
          <w:ilvl w:val="0"/>
          <w:numId w:val="2"/>
        </w:numPr>
        <w:spacing w:after="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Evaluar la ejecución del plan de acción y elaborar planes de mejoramiento para que estén actualizadas las licencias y permisos ambientales requeridos así como los contratos con prestadores externos para la disposición final de los residuos.</w:t>
      </w:r>
    </w:p>
    <w:p w:rsidR="00000000" w:rsidDel="00000000" w:rsidP="00000000" w:rsidRDefault="00000000" w:rsidRPr="00000000" w14:paraId="00000035">
      <w:pPr>
        <w:numPr>
          <w:ilvl w:val="0"/>
          <w:numId w:val="2"/>
        </w:numPr>
        <w:shd w:fill="ffffff" w:val="clear"/>
        <w:spacing w:after="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Coordinar acciones con el comité de salud ocupacional de la institución.</w:t>
      </w:r>
    </w:p>
    <w:p w:rsidR="00000000" w:rsidDel="00000000" w:rsidP="00000000" w:rsidRDefault="00000000" w:rsidRPr="00000000" w14:paraId="00000036">
      <w:pPr>
        <w:numPr>
          <w:ilvl w:val="0"/>
          <w:numId w:val="2"/>
        </w:numPr>
        <w:shd w:fill="ffffff" w:val="clear"/>
        <w:spacing w:after="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Participar en los programas de capacitación dirigidos al personal de la institución. </w:t>
      </w:r>
    </w:p>
    <w:p w:rsidR="00000000" w:rsidDel="00000000" w:rsidP="00000000" w:rsidRDefault="00000000" w:rsidRPr="00000000" w14:paraId="00000037">
      <w:pPr>
        <w:spacing w:after="0"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alcanza el quórum decisorio y deliberativo cuando se reúnan por lo menos la mitad más uno de los miembros del comité, las reuniones se desarrollarán en el día, hora y lugar establecidos y de acuerdo con la agenda programada, tratando de optimizar el tiempo establecido. Si por alguna circunstancia se debe suspender la reunión, se concertará y programará una fecha de continuación, de cada reunión se suscribirá un acta donde conste la verificación de la asistencia, la evaluación de los compromisos, el desarrollo de los temas de la agenda y las decisiones implementadas por el Comité. Así mismo se elaborará una hoja de compromisos asignados en la reunión. El presidente y secretario técnico del comité serán los responsables de la elaboración y custodia de las actas respectivas.</w:t>
      </w:r>
    </w:p>
    <w:p w:rsidR="00000000" w:rsidDel="00000000" w:rsidP="00000000" w:rsidRDefault="00000000" w:rsidRPr="00000000" w14:paraId="00000038">
      <w:pPr>
        <w:spacing w:after="0"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9">
      <w:pPr>
        <w:spacing w:after="0"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Comité realizará reuniones trimestrales, en el día y hora que determine el Comité empezando a partir del mes de Enero 2025.  De todas las reuniones se levantará un acta  firmada por los participantes del comité, la cual se archiva en constancia de la gestión realizada. </w:t>
      </w:r>
    </w:p>
    <w:p w:rsidR="00000000" w:rsidDel="00000000" w:rsidP="00000000" w:rsidRDefault="00000000" w:rsidRPr="00000000" w14:paraId="0000003A">
      <w:pPr>
        <w:spacing w:after="0"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03B">
      <w:pPr>
        <w:spacing w:after="0"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presente Resolución rige a partir de la fecha de su expedición. </w:t>
      </w:r>
    </w:p>
    <w:p w:rsidR="00000000" w:rsidDel="00000000" w:rsidP="00000000" w:rsidRDefault="00000000" w:rsidRPr="00000000" w14:paraId="0000003C">
      <w:pPr>
        <w:spacing w:after="0" w:line="24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03D">
      <w:pPr>
        <w:spacing w:line="276" w:lineRule="auto"/>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NOTIFIQUESE Y CUMPLASE</w:t>
      </w:r>
    </w:p>
    <w:p w:rsidR="00000000" w:rsidDel="00000000" w:rsidP="00000000" w:rsidRDefault="00000000" w:rsidRPr="00000000" w14:paraId="0000003E">
      <w:pPr>
        <w:spacing w:line="276"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Dada en Ibagué, a los 07 días de Enero de 2025</w:t>
      </w:r>
    </w:p>
    <w:p w:rsidR="00000000" w:rsidDel="00000000" w:rsidP="00000000" w:rsidRDefault="00000000" w:rsidRPr="00000000" w14:paraId="0000003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169049" cy="928014"/>
            <wp:effectExtent b="0" l="0" r="0" t="0"/>
            <wp:docPr id="16"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169049" cy="928014"/>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line="240" w:lineRule="auto"/>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rtl w:val="0"/>
        </w:rPr>
        <w:t xml:space="preserve">Carlos Vizcaino</w:t>
      </w:r>
    </w:p>
    <w:p w:rsidR="00000000" w:rsidDel="00000000" w:rsidP="00000000" w:rsidRDefault="00000000" w:rsidRPr="00000000" w14:paraId="00000041">
      <w:pPr>
        <w:spacing w:after="0" w:line="240" w:lineRule="auto"/>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i w:val="1"/>
          <w:sz w:val="22"/>
          <w:szCs w:val="22"/>
          <w:rtl w:val="0"/>
        </w:rPr>
        <w:t xml:space="preserve">Gerente Endocrinology &amp; Health </w:t>
      </w:r>
      <w:r w:rsidDel="00000000" w:rsidR="00000000" w:rsidRPr="00000000">
        <w:rPr>
          <w:rtl w:val="0"/>
        </w:rPr>
      </w:r>
    </w:p>
    <w:sectPr>
      <w:headerReference r:id="rId8" w:type="default"/>
      <w:headerReference r:id="rId9" w:type="first"/>
      <w:headerReference r:id="rId10" w:type="even"/>
      <w:pgSz w:h="15840" w:w="12240" w:orient="portrait"/>
      <w:pgMar w:bottom="1107.1653543307093"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tabs>
        <w:tab w:val="right" w:leader="none" w:pos="9003"/>
      </w:tabs>
      <w:spacing w:after="0" w:line="240" w:lineRule="auto"/>
      <w:jc w:val="center"/>
      <w:rPr/>
    </w:pPr>
    <w:r w:rsidDel="00000000" w:rsidR="00000000" w:rsidRPr="00000000">
      <w:rPr>
        <w:rFonts w:ascii="Arial" w:cs="Arial" w:eastAsia="Arial" w:hAnsi="Arial"/>
        <w:b w:val="1"/>
        <w:sz w:val="24"/>
        <w:szCs w:val="24"/>
      </w:rPr>
      <w:drawing>
        <wp:inline distB="114300" distT="114300" distL="114300" distR="114300">
          <wp:extent cx="2166938" cy="596328"/>
          <wp:effectExtent b="0" l="0" r="0" t="0"/>
          <wp:docPr id="1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166938" cy="59632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widowControl w:val="0"/>
      <w:spacing w:after="0" w:line="276"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pict>
        <v:shape id="WordPictureWatermark1" style="position:absolute;width:441.6pt;height:441.25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pict>
        <v:shape id="WordPictureWatermark2" style="position:absolute;width:441.6pt;height:441.25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s"/>
      </w:rPr>
    </w:rPrDefault>
    <w:pPrDefault>
      <w:pPr>
        <w:spacing w:after="160" w:line="3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20" w:line="240" w:lineRule="auto"/>
      <w:jc w:val="center"/>
    </w:pPr>
    <w:rPr>
      <w:rFonts w:ascii="Calibri" w:cs="Calibri" w:eastAsia="Calibri" w:hAnsi="Calibri"/>
      <w:color w:val="2f5496"/>
      <w:sz w:val="40"/>
      <w:szCs w:val="40"/>
    </w:rPr>
  </w:style>
  <w:style w:type="paragraph" w:styleId="Heading2">
    <w:name w:val="heading 2"/>
    <w:basedOn w:val="Normal"/>
    <w:next w:val="Normal"/>
    <w:pPr>
      <w:keepNext w:val="1"/>
      <w:keepLines w:val="1"/>
      <w:spacing w:after="40" w:before="160" w:line="240" w:lineRule="auto"/>
      <w:jc w:val="center"/>
    </w:pPr>
    <w:rPr>
      <w:rFonts w:ascii="Calibri" w:cs="Calibri" w:eastAsia="Calibri" w:hAnsi="Calibri"/>
      <w:sz w:val="32"/>
      <w:szCs w:val="32"/>
    </w:rPr>
  </w:style>
  <w:style w:type="paragraph" w:styleId="Heading3">
    <w:name w:val="heading 3"/>
    <w:basedOn w:val="Normal"/>
    <w:next w:val="Normal"/>
    <w:pPr>
      <w:keepNext w:val="1"/>
      <w:keepLines w:val="1"/>
      <w:spacing w:after="0" w:before="160" w:line="240" w:lineRule="auto"/>
    </w:pPr>
    <w:rPr>
      <w:rFonts w:ascii="Calibri" w:cs="Calibri" w:eastAsia="Calibri" w:hAnsi="Calibri"/>
      <w:sz w:val="32"/>
      <w:szCs w:val="32"/>
    </w:rPr>
  </w:style>
  <w:style w:type="paragraph" w:styleId="Heading4">
    <w:name w:val="heading 4"/>
    <w:basedOn w:val="Normal"/>
    <w:next w:val="Normal"/>
    <w:pPr>
      <w:keepNext w:val="1"/>
      <w:keepLines w:val="1"/>
      <w:spacing w:after="0" w:before="80" w:lineRule="auto"/>
    </w:pPr>
    <w:rPr>
      <w:rFonts w:ascii="Calibri" w:cs="Calibri" w:eastAsia="Calibri" w:hAnsi="Calibri"/>
      <w:i w:val="1"/>
      <w:sz w:val="30"/>
      <w:szCs w:val="30"/>
    </w:rPr>
  </w:style>
  <w:style w:type="paragraph" w:styleId="Heading5">
    <w:name w:val="heading 5"/>
    <w:basedOn w:val="Normal"/>
    <w:next w:val="Normal"/>
    <w:pPr>
      <w:keepNext w:val="1"/>
      <w:keepLines w:val="1"/>
      <w:spacing w:after="0" w:before="40" w:lineRule="auto"/>
    </w:pPr>
    <w:rPr>
      <w:rFonts w:ascii="Calibri" w:cs="Calibri" w:eastAsia="Calibri" w:hAnsi="Calibri"/>
      <w:sz w:val="28"/>
      <w:szCs w:val="28"/>
    </w:rPr>
  </w:style>
  <w:style w:type="paragraph" w:styleId="Heading6">
    <w:name w:val="heading 6"/>
    <w:basedOn w:val="Normal"/>
    <w:next w:val="Normal"/>
    <w:pPr>
      <w:keepNext w:val="1"/>
      <w:keepLines w:val="1"/>
      <w:spacing w:after="0" w:before="40" w:lineRule="auto"/>
    </w:pPr>
    <w:rPr>
      <w:rFonts w:ascii="Calibri" w:cs="Calibri" w:eastAsia="Calibri" w:hAnsi="Calibri"/>
      <w:i w:val="1"/>
      <w:sz w:val="26"/>
      <w:szCs w:val="26"/>
    </w:rPr>
  </w:style>
  <w:style w:type="paragraph" w:styleId="Title">
    <w:name w:val="Title"/>
    <w:basedOn w:val="Normal"/>
    <w:next w:val="Normal"/>
    <w:pPr>
      <w:pBdr>
        <w:top w:color="a5a5a5" w:space="8" w:sz="6" w:val="single"/>
        <w:bottom w:color="a5a5a5" w:space="8" w:sz="6" w:val="single"/>
      </w:pBdr>
      <w:spacing w:after="400" w:line="240" w:lineRule="auto"/>
      <w:jc w:val="center"/>
    </w:pPr>
    <w:rPr>
      <w:rFonts w:ascii="Calibri" w:cs="Calibri" w:eastAsia="Calibri" w:hAnsi="Calibri"/>
      <w:smallCaps w:val="1"/>
      <w:color w:val="44546a"/>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Ttulo7">
    <w:name w:val="heading 7"/>
    <w:basedOn w:val="Normal"/>
    <w:next w:val="Normal"/>
    <w:link w:val="Ttulo7Car"/>
    <w:uiPriority w:val="9"/>
    <w:semiHidden w:val="1"/>
    <w:unhideWhenUsed w:val="1"/>
    <w:qFormat w:val="1"/>
    <w:rsid w:val="009C3F6B"/>
    <w:pPr>
      <w:keepNext w:val="1"/>
      <w:keepLines w:val="1"/>
      <w:spacing w:after="0" w:before="40"/>
      <w:outlineLvl w:val="6"/>
    </w:pPr>
    <w:rPr>
      <w:rFonts w:asciiTheme="majorHAnsi" w:cstheme="majorBidi" w:eastAsiaTheme="majorEastAsia" w:hAnsiTheme="majorHAnsi"/>
      <w:sz w:val="24"/>
      <w:szCs w:val="24"/>
    </w:rPr>
  </w:style>
  <w:style w:type="paragraph" w:styleId="Ttulo8">
    <w:name w:val="heading 8"/>
    <w:basedOn w:val="Normal"/>
    <w:next w:val="Normal"/>
    <w:link w:val="Ttulo8Car"/>
    <w:uiPriority w:val="9"/>
    <w:semiHidden w:val="1"/>
    <w:unhideWhenUsed w:val="1"/>
    <w:qFormat w:val="1"/>
    <w:rsid w:val="009C3F6B"/>
    <w:pPr>
      <w:keepNext w:val="1"/>
      <w:keepLines w:val="1"/>
      <w:spacing w:after="0" w:before="40"/>
      <w:outlineLvl w:val="7"/>
    </w:pPr>
    <w:rPr>
      <w:rFonts w:asciiTheme="majorHAnsi" w:cstheme="majorBidi" w:eastAsiaTheme="majorEastAsia" w:hAnsiTheme="majorHAnsi"/>
      <w:i w:val="1"/>
      <w:iCs w:val="1"/>
      <w:sz w:val="22"/>
      <w:szCs w:val="22"/>
    </w:rPr>
  </w:style>
  <w:style w:type="paragraph" w:styleId="Ttulo9">
    <w:name w:val="heading 9"/>
    <w:basedOn w:val="Normal"/>
    <w:next w:val="Normal"/>
    <w:link w:val="Ttulo9Car"/>
    <w:uiPriority w:val="9"/>
    <w:semiHidden w:val="1"/>
    <w:unhideWhenUsed w:val="1"/>
    <w:qFormat w:val="1"/>
    <w:rsid w:val="009C3F6B"/>
    <w:pPr>
      <w:keepNext w:val="1"/>
      <w:keepLines w:val="1"/>
      <w:spacing w:after="0" w:before="40"/>
      <w:outlineLvl w:val="8"/>
    </w:pPr>
    <w:rPr>
      <w:b w:val="1"/>
      <w:bCs w:val="1"/>
      <w:i w:val="1"/>
      <w:iCs w:val="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9C3F6B"/>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rsid w:val="009C3F6B"/>
    <w:rPr>
      <w:rFonts w:asciiTheme="majorHAnsi" w:cstheme="majorBidi" w:eastAsiaTheme="majorEastAsia" w:hAnsiTheme="majorHAnsi"/>
      <w:sz w:val="32"/>
      <w:szCs w:val="32"/>
    </w:rPr>
  </w:style>
  <w:style w:type="character" w:styleId="Ttulo3Car" w:customStyle="1">
    <w:name w:val="Título 3 Car"/>
    <w:basedOn w:val="Fuentedeprrafopredeter"/>
    <w:link w:val="Ttulo3"/>
    <w:uiPriority w:val="9"/>
    <w:rsid w:val="009C3F6B"/>
    <w:rPr>
      <w:rFonts w:asciiTheme="majorHAnsi" w:cstheme="majorBidi" w:eastAsiaTheme="majorEastAsia" w:hAnsiTheme="majorHAnsi"/>
      <w:sz w:val="32"/>
      <w:szCs w:val="32"/>
    </w:rPr>
  </w:style>
  <w:style w:type="character" w:styleId="Ttulo4Car" w:customStyle="1">
    <w:name w:val="Título 4 Car"/>
    <w:basedOn w:val="Fuentedeprrafopredeter"/>
    <w:link w:val="Ttulo4"/>
    <w:uiPriority w:val="9"/>
    <w:rsid w:val="009C3F6B"/>
    <w:rPr>
      <w:rFonts w:asciiTheme="majorHAnsi" w:cstheme="majorBidi" w:eastAsiaTheme="majorEastAsia" w:hAnsiTheme="majorHAnsi"/>
      <w:i w:val="1"/>
      <w:iCs w:val="1"/>
      <w:sz w:val="30"/>
      <w:szCs w:val="30"/>
    </w:rPr>
  </w:style>
  <w:style w:type="character" w:styleId="Ttulo5Car" w:customStyle="1">
    <w:name w:val="Título 5 Car"/>
    <w:basedOn w:val="Fuentedeprrafopredeter"/>
    <w:link w:val="Ttulo5"/>
    <w:uiPriority w:val="9"/>
    <w:rsid w:val="009C3F6B"/>
    <w:rPr>
      <w:rFonts w:asciiTheme="majorHAnsi" w:cstheme="majorBidi" w:eastAsiaTheme="majorEastAsia" w:hAnsiTheme="majorHAnsi"/>
      <w:sz w:val="28"/>
      <w:szCs w:val="28"/>
    </w:rPr>
  </w:style>
  <w:style w:type="character" w:styleId="Ttulo6Car" w:customStyle="1">
    <w:name w:val="Título 6 Car"/>
    <w:basedOn w:val="Fuentedeprrafopredeter"/>
    <w:link w:val="Ttulo6"/>
    <w:uiPriority w:val="9"/>
    <w:semiHidden w:val="1"/>
    <w:rsid w:val="009C3F6B"/>
    <w:rPr>
      <w:rFonts w:asciiTheme="majorHAnsi" w:cstheme="majorBidi" w:eastAsiaTheme="majorEastAsia" w:hAnsiTheme="majorHAnsi"/>
      <w:i w:val="1"/>
      <w:iCs w:val="1"/>
      <w:sz w:val="26"/>
      <w:szCs w:val="26"/>
    </w:rPr>
  </w:style>
  <w:style w:type="character" w:styleId="Ttulo7Car" w:customStyle="1">
    <w:name w:val="Título 7 Car"/>
    <w:basedOn w:val="Fuentedeprrafopredeter"/>
    <w:link w:val="Ttulo7"/>
    <w:uiPriority w:val="9"/>
    <w:semiHidden w:val="1"/>
    <w:rsid w:val="009C3F6B"/>
    <w:rPr>
      <w:rFonts w:asciiTheme="majorHAnsi" w:cstheme="majorBidi" w:eastAsiaTheme="majorEastAsia" w:hAnsiTheme="majorHAnsi"/>
      <w:sz w:val="24"/>
      <w:szCs w:val="24"/>
    </w:rPr>
  </w:style>
  <w:style w:type="character" w:styleId="Ttulo8Car" w:customStyle="1">
    <w:name w:val="Título 8 Car"/>
    <w:basedOn w:val="Fuentedeprrafopredeter"/>
    <w:link w:val="Ttulo8"/>
    <w:uiPriority w:val="9"/>
    <w:semiHidden w:val="1"/>
    <w:rsid w:val="009C3F6B"/>
    <w:rPr>
      <w:rFonts w:asciiTheme="majorHAnsi" w:cstheme="majorBidi" w:eastAsiaTheme="majorEastAsia" w:hAnsiTheme="majorHAnsi"/>
      <w:i w:val="1"/>
      <w:iCs w:val="1"/>
      <w:sz w:val="22"/>
      <w:szCs w:val="22"/>
    </w:rPr>
  </w:style>
  <w:style w:type="character" w:styleId="Ttulo9Car" w:customStyle="1">
    <w:name w:val="Título 9 Car"/>
    <w:basedOn w:val="Fuentedeprrafopredeter"/>
    <w:link w:val="Ttulo9"/>
    <w:uiPriority w:val="9"/>
    <w:semiHidden w:val="1"/>
    <w:rsid w:val="009C3F6B"/>
    <w:rPr>
      <w:b w:val="1"/>
      <w:bCs w:val="1"/>
      <w:i w:val="1"/>
      <w:iCs w:val="1"/>
    </w:rPr>
  </w:style>
  <w:style w:type="paragraph" w:styleId="Descripcin">
    <w:name w:val="caption"/>
    <w:basedOn w:val="Normal"/>
    <w:next w:val="Normal"/>
    <w:uiPriority w:val="35"/>
    <w:semiHidden w:val="1"/>
    <w:unhideWhenUsed w:val="1"/>
    <w:qFormat w:val="1"/>
    <w:rsid w:val="009C3F6B"/>
    <w:pPr>
      <w:spacing w:line="240" w:lineRule="auto"/>
    </w:pPr>
    <w:rPr>
      <w:b w:val="1"/>
      <w:bCs w:val="1"/>
      <w:color w:val="404040" w:themeColor="text1" w:themeTint="0000BF"/>
      <w:sz w:val="16"/>
      <w:szCs w:val="16"/>
    </w:rPr>
  </w:style>
  <w:style w:type="character" w:styleId="TtuloCar" w:customStyle="1">
    <w:name w:val="Título Car"/>
    <w:basedOn w:val="Fuentedeprrafopredeter"/>
    <w:link w:val="Ttulo"/>
    <w:uiPriority w:val="10"/>
    <w:rsid w:val="009C3F6B"/>
    <w:rPr>
      <w:rFonts w:asciiTheme="majorHAnsi" w:cstheme="majorBidi" w:eastAsiaTheme="majorEastAsia" w:hAnsiTheme="majorHAnsi"/>
      <w:caps w:val="1"/>
      <w:color w:val="44546a" w:themeColor="text2"/>
      <w:spacing w:val="30"/>
      <w:sz w:val="72"/>
      <w:szCs w:val="72"/>
    </w:rPr>
  </w:style>
  <w:style w:type="character" w:styleId="SubttuloCar" w:customStyle="1">
    <w:name w:val="Subtítulo Car"/>
    <w:basedOn w:val="Fuentedeprrafopredeter"/>
    <w:link w:val="Subttulo"/>
    <w:uiPriority w:val="11"/>
    <w:rsid w:val="009C3F6B"/>
    <w:rPr>
      <w:color w:val="44546a" w:themeColor="text2"/>
      <w:sz w:val="28"/>
      <w:szCs w:val="28"/>
    </w:rPr>
  </w:style>
  <w:style w:type="character" w:styleId="Textoennegrita">
    <w:name w:val="Strong"/>
    <w:basedOn w:val="Fuentedeprrafopredeter"/>
    <w:uiPriority w:val="22"/>
    <w:qFormat w:val="1"/>
    <w:rsid w:val="009C3F6B"/>
    <w:rPr>
      <w:b w:val="1"/>
      <w:bCs w:val="1"/>
    </w:rPr>
  </w:style>
  <w:style w:type="character" w:styleId="nfasis">
    <w:name w:val="Emphasis"/>
    <w:basedOn w:val="Fuentedeprrafopredeter"/>
    <w:uiPriority w:val="20"/>
    <w:qFormat w:val="1"/>
    <w:rsid w:val="009C3F6B"/>
    <w:rPr>
      <w:i w:val="1"/>
      <w:iCs w:val="1"/>
      <w:color w:val="000000" w:themeColor="text1"/>
    </w:rPr>
  </w:style>
  <w:style w:type="paragraph" w:styleId="Sinespaciado">
    <w:name w:val="No Spacing"/>
    <w:uiPriority w:val="1"/>
    <w:qFormat w:val="1"/>
    <w:rsid w:val="009C3F6B"/>
    <w:pPr>
      <w:spacing w:after="0" w:line="240" w:lineRule="auto"/>
    </w:pPr>
  </w:style>
  <w:style w:type="paragraph" w:styleId="Cita">
    <w:name w:val="Quote"/>
    <w:basedOn w:val="Normal"/>
    <w:next w:val="Normal"/>
    <w:link w:val="CitaCar"/>
    <w:uiPriority w:val="29"/>
    <w:qFormat w:val="1"/>
    <w:rsid w:val="009C3F6B"/>
    <w:pPr>
      <w:spacing w:before="160"/>
      <w:ind w:left="720" w:right="720"/>
      <w:jc w:val="center"/>
    </w:pPr>
    <w:rPr>
      <w:i w:val="1"/>
      <w:iCs w:val="1"/>
      <w:color w:val="7b7b7b" w:themeColor="accent3" w:themeShade="0000BF"/>
      <w:sz w:val="24"/>
      <w:szCs w:val="24"/>
    </w:rPr>
  </w:style>
  <w:style w:type="character" w:styleId="CitaCar" w:customStyle="1">
    <w:name w:val="Cita Car"/>
    <w:basedOn w:val="Fuentedeprrafopredeter"/>
    <w:link w:val="Cita"/>
    <w:uiPriority w:val="29"/>
    <w:rsid w:val="009C3F6B"/>
    <w:rPr>
      <w:i w:val="1"/>
      <w:iCs w:val="1"/>
      <w:color w:val="7b7b7b" w:themeColor="accent3" w:themeShade="0000BF"/>
      <w:sz w:val="24"/>
      <w:szCs w:val="24"/>
    </w:rPr>
  </w:style>
  <w:style w:type="paragraph" w:styleId="Citadestacada">
    <w:name w:val="Intense Quote"/>
    <w:basedOn w:val="Normal"/>
    <w:next w:val="Normal"/>
    <w:link w:val="CitadestacadaCar"/>
    <w:uiPriority w:val="30"/>
    <w:qFormat w:val="1"/>
    <w:rsid w:val="009C3F6B"/>
    <w:pPr>
      <w:spacing w:before="160" w:line="276" w:lineRule="auto"/>
      <w:ind w:left="936" w:right="936"/>
      <w:jc w:val="center"/>
    </w:pPr>
    <w:rPr>
      <w:rFonts w:asciiTheme="majorHAnsi" w:cstheme="majorBidi" w:eastAsiaTheme="majorEastAsia" w:hAnsiTheme="majorHAnsi"/>
      <w:caps w:val="1"/>
      <w:color w:val="2f5496" w:themeColor="accent1" w:themeShade="0000BF"/>
      <w:sz w:val="28"/>
      <w:szCs w:val="28"/>
    </w:rPr>
  </w:style>
  <w:style w:type="character" w:styleId="CitadestacadaCar" w:customStyle="1">
    <w:name w:val="Cita destacada Car"/>
    <w:basedOn w:val="Fuentedeprrafopredeter"/>
    <w:link w:val="Citadestacada"/>
    <w:uiPriority w:val="30"/>
    <w:rsid w:val="009C3F6B"/>
    <w:rPr>
      <w:rFonts w:asciiTheme="majorHAnsi" w:cstheme="majorBidi" w:eastAsiaTheme="majorEastAsia" w:hAnsiTheme="majorHAnsi"/>
      <w:caps w:val="1"/>
      <w:color w:val="2f5496" w:themeColor="accent1" w:themeShade="0000BF"/>
      <w:sz w:val="28"/>
      <w:szCs w:val="28"/>
    </w:rPr>
  </w:style>
  <w:style w:type="character" w:styleId="nfasissutil">
    <w:name w:val="Subtle Emphasis"/>
    <w:basedOn w:val="Fuentedeprrafopredeter"/>
    <w:uiPriority w:val="19"/>
    <w:qFormat w:val="1"/>
    <w:rsid w:val="009C3F6B"/>
    <w:rPr>
      <w:i w:val="1"/>
      <w:iCs w:val="1"/>
      <w:color w:val="595959" w:themeColor="text1" w:themeTint="0000A6"/>
    </w:rPr>
  </w:style>
  <w:style w:type="character" w:styleId="nfasisintenso">
    <w:name w:val="Intense Emphasis"/>
    <w:basedOn w:val="Fuentedeprrafopredeter"/>
    <w:uiPriority w:val="21"/>
    <w:qFormat w:val="1"/>
    <w:rsid w:val="009C3F6B"/>
    <w:rPr>
      <w:b w:val="1"/>
      <w:bCs w:val="1"/>
      <w:i w:val="1"/>
      <w:iCs w:val="1"/>
      <w:color w:val="auto"/>
    </w:rPr>
  </w:style>
  <w:style w:type="character" w:styleId="Referenciasutil">
    <w:name w:val="Subtle Reference"/>
    <w:basedOn w:val="Fuentedeprrafopredeter"/>
    <w:uiPriority w:val="31"/>
    <w:qFormat w:val="1"/>
    <w:rsid w:val="009C3F6B"/>
    <w:rPr>
      <w:caps w:val="0"/>
      <w:smallCaps w:val="1"/>
      <w:color w:val="404040" w:themeColor="text1" w:themeTint="0000BF"/>
      <w:spacing w:val="0"/>
      <w:u w:color="7f7f7f" w:themeColor="text1" w:themeTint="000080" w:val="single"/>
    </w:rPr>
  </w:style>
  <w:style w:type="character" w:styleId="Referenciaintensa">
    <w:name w:val="Intense Reference"/>
    <w:basedOn w:val="Fuentedeprrafopredeter"/>
    <w:uiPriority w:val="32"/>
    <w:qFormat w:val="1"/>
    <w:rsid w:val="009C3F6B"/>
    <w:rPr>
      <w:b w:val="1"/>
      <w:bCs w:val="1"/>
      <w:caps w:val="0"/>
      <w:smallCaps w:val="1"/>
      <w:color w:val="auto"/>
      <w:spacing w:val="0"/>
      <w:u w:val="single"/>
    </w:rPr>
  </w:style>
  <w:style w:type="character" w:styleId="Ttulodellibro">
    <w:name w:val="Book Title"/>
    <w:basedOn w:val="Fuentedeprrafopredeter"/>
    <w:uiPriority w:val="33"/>
    <w:qFormat w:val="1"/>
    <w:rsid w:val="009C3F6B"/>
    <w:rPr>
      <w:b w:val="1"/>
      <w:bCs w:val="1"/>
      <w:caps w:val="0"/>
      <w:smallCaps w:val="1"/>
      <w:spacing w:val="0"/>
    </w:rPr>
  </w:style>
  <w:style w:type="paragraph" w:styleId="TtuloTDC">
    <w:name w:val="TOC Heading"/>
    <w:basedOn w:val="Ttulo1"/>
    <w:next w:val="Normal"/>
    <w:uiPriority w:val="39"/>
    <w:semiHidden w:val="1"/>
    <w:unhideWhenUsed w:val="1"/>
    <w:qFormat w:val="1"/>
    <w:rsid w:val="009C3F6B"/>
    <w:pPr>
      <w:outlineLvl w:val="9"/>
    </w:pPr>
  </w:style>
  <w:style w:type="paragraph" w:styleId="Encabezado">
    <w:name w:val="header"/>
    <w:basedOn w:val="Normal"/>
    <w:link w:val="EncabezadoCar"/>
    <w:uiPriority w:val="99"/>
    <w:unhideWhenUsed w:val="1"/>
    <w:rsid w:val="009C3F6B"/>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C3F6B"/>
  </w:style>
  <w:style w:type="paragraph" w:styleId="Piedepgina">
    <w:name w:val="footer"/>
    <w:basedOn w:val="Normal"/>
    <w:link w:val="PiedepginaCar"/>
    <w:uiPriority w:val="99"/>
    <w:unhideWhenUsed w:val="1"/>
    <w:rsid w:val="009C3F6B"/>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C3F6B"/>
  </w:style>
  <w:style w:type="paragraph" w:styleId="Prrafodelista">
    <w:name w:val="List Paragraph"/>
    <w:basedOn w:val="Normal"/>
    <w:uiPriority w:val="1"/>
    <w:qFormat w:val="1"/>
    <w:rsid w:val="009E3BFD"/>
    <w:pPr>
      <w:widowControl w:val="0"/>
      <w:autoSpaceDE w:val="0"/>
      <w:autoSpaceDN w:val="0"/>
      <w:spacing w:after="0" w:line="317" w:lineRule="exact"/>
      <w:ind w:left="2357" w:hanging="368"/>
    </w:pPr>
    <w:rPr>
      <w:rFonts w:ascii="Arial Black" w:cs="Arial Black" w:eastAsia="Arial Black" w:hAnsi="Arial Black"/>
      <w:sz w:val="22"/>
      <w:szCs w:val="22"/>
      <w:lang w:val="es-ES"/>
    </w:rPr>
  </w:style>
  <w:style w:type="paragraph" w:styleId="Subtitle">
    <w:name w:val="Subtitle"/>
    <w:basedOn w:val="Normal"/>
    <w:next w:val="Normal"/>
    <w:pPr>
      <w:jc w:val="center"/>
    </w:pPr>
    <w:rPr>
      <w:color w:val="44546a"/>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VxKVzme8HBGl5H3IjkbUqYFbiw==">CgMxLjA4AHIhMXNDcGd5VVV4LS1Xc0M3RVVwZ1dYTTh1OWRIcmN3bWNX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2021-07-23T21:02:00Z</dcterms:created>
  <dc:creator>Inmunar Gerencia</dc:creator>
</cp:coreProperties>
</file>