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5"/>
        <w:gridCol w:w="390"/>
        <w:gridCol w:w="3585"/>
        <w:gridCol w:w="495"/>
        <w:tblGridChange w:id="0">
          <w:tblGrid>
            <w:gridCol w:w="5205"/>
            <w:gridCol w:w="390"/>
            <w:gridCol w:w="3585"/>
            <w:gridCol w:w="495"/>
          </w:tblGrid>
        </w:tblGridChange>
      </w:tblGrid>
      <w:tr>
        <w:trPr>
          <w:cantSplit w:val="0"/>
          <w:tblHeader w:val="0"/>
        </w:trPr>
        <w:tc>
          <w:tcPr>
            <w:gridSpan w:val="4"/>
          </w:tcPr>
          <w:p w:rsidR="00000000" w:rsidDel="00000000" w:rsidP="00000000" w:rsidRDefault="00000000" w:rsidRPr="00000000" w14:paraId="00000002">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Comité </w:t>
            </w:r>
          </w:p>
        </w:tc>
        <w:tc>
          <w:tcPr/>
          <w:p w:rsidR="00000000" w:rsidDel="00000000" w:rsidP="00000000" w:rsidRDefault="00000000" w:rsidRPr="00000000" w14:paraId="0000000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p w:rsidR="00000000" w:rsidDel="00000000" w:rsidP="00000000" w:rsidRDefault="00000000" w:rsidRPr="00000000" w14:paraId="00000008">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Auditoría</w:t>
            </w:r>
          </w:p>
        </w:tc>
        <w:tc>
          <w:tcPr/>
          <w:p w:rsidR="00000000" w:rsidDel="00000000" w:rsidP="00000000" w:rsidRDefault="00000000" w:rsidRPr="00000000" w14:paraId="00000009">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interna</w:t>
            </w:r>
          </w:p>
        </w:tc>
        <w:tc>
          <w:tcPr/>
          <w:p w:rsidR="00000000" w:rsidDel="00000000" w:rsidP="00000000" w:rsidRDefault="00000000" w:rsidRPr="00000000" w14:paraId="0000000B">
            <w:pPr>
              <w:ind w:left="0" w:hanging="2"/>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0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w:t>
            </w:r>
          </w:p>
        </w:tc>
        <w:tc>
          <w:tcPr/>
          <w:p w:rsidR="00000000" w:rsidDel="00000000" w:rsidP="00000000" w:rsidRDefault="00000000" w:rsidRPr="00000000" w14:paraId="0000000D">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E">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Personal</w:t>
            </w:r>
          </w:p>
        </w:tc>
        <w:tc>
          <w:tcPr/>
          <w:p w:rsidR="00000000" w:rsidDel="00000000" w:rsidP="00000000" w:rsidRDefault="00000000" w:rsidRPr="00000000" w14:paraId="0000000F">
            <w:pPr>
              <w:ind w:left="0" w:hanging="2"/>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0">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Junta Directiva </w:t>
            </w:r>
          </w:p>
        </w:tc>
        <w:tc>
          <w:tcPr/>
          <w:p w:rsidR="00000000" w:rsidDel="00000000" w:rsidP="00000000" w:rsidRDefault="00000000" w:rsidRPr="00000000" w14:paraId="00000011">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2">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con cliente y/o proveedores</w:t>
            </w:r>
          </w:p>
        </w:tc>
        <w:tc>
          <w:tcPr/>
          <w:p w:rsidR="00000000" w:rsidDel="00000000" w:rsidP="00000000" w:rsidRDefault="00000000" w:rsidRPr="00000000" w14:paraId="00000013">
            <w:pPr>
              <w:ind w:left="0" w:hanging="2"/>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4">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Visita entes reguladores</w:t>
            </w:r>
          </w:p>
        </w:tc>
        <w:tc>
          <w:tcPr/>
          <w:p w:rsidR="00000000" w:rsidDel="00000000" w:rsidP="00000000" w:rsidRDefault="00000000" w:rsidRPr="00000000" w14:paraId="00000015">
            <w:pPr>
              <w:ind w:left="0" w:hanging="2"/>
              <w:rPr>
                <w:rFonts w:ascii="Arial" w:cs="Arial" w:eastAsia="Arial" w:hAnsi="Arial"/>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Otro, ¿Cuál? </w:t>
            </w:r>
          </w:p>
        </w:tc>
      </w:tr>
    </w:tbl>
    <w:p w:rsidR="00000000" w:rsidDel="00000000" w:rsidP="00000000" w:rsidRDefault="00000000" w:rsidRPr="00000000" w14:paraId="0000001A">
      <w:pPr>
        <w:ind w:left="0" w:hanging="2"/>
        <w:jc w:val="both"/>
        <w:rPr>
          <w:rFonts w:ascii="Arial" w:cs="Arial" w:eastAsia="Arial" w:hAnsi="Arial"/>
          <w:sz w:val="22"/>
          <w:szCs w:val="22"/>
        </w:rPr>
      </w:pPr>
      <w:r w:rsidDel="00000000" w:rsidR="00000000" w:rsidRPr="00000000">
        <w:rPr>
          <w:rtl w:val="0"/>
        </w:rPr>
      </w:r>
    </w:p>
    <w:tbl>
      <w:tblPr>
        <w:tblStyle w:val="Table2"/>
        <w:tblW w:w="9675.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955"/>
        <w:gridCol w:w="3360"/>
        <w:tblGridChange w:id="0">
          <w:tblGrid>
            <w:gridCol w:w="3360"/>
            <w:gridCol w:w="2955"/>
            <w:gridCol w:w="3360"/>
          </w:tblGrid>
        </w:tblGridChange>
      </w:tblGrid>
      <w:tr>
        <w:trPr>
          <w:cantSplit w:val="0"/>
          <w:tblHeader w:val="0"/>
        </w:trPr>
        <w:tc>
          <w:tcPr>
            <w:gridSpan w:val="3"/>
          </w:tcPr>
          <w:p w:rsidR="00000000" w:rsidDel="00000000" w:rsidP="00000000" w:rsidRDefault="00000000" w:rsidRPr="00000000" w14:paraId="0000001B">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OBJETIVO DE LA REUNIÓN: COMITE AMBIENTAL</w:t>
            </w:r>
            <w:r w:rsidDel="00000000" w:rsidR="00000000" w:rsidRPr="00000000">
              <w:rPr>
                <w:rtl w:val="0"/>
              </w:rPr>
            </w:r>
          </w:p>
        </w:tc>
      </w:tr>
      <w:tr>
        <w:trPr>
          <w:cantSplit w:val="0"/>
          <w:tblHeader w:val="0"/>
        </w:trPr>
        <w:tc>
          <w:tcPr/>
          <w:p w:rsidR="00000000" w:rsidDel="00000000" w:rsidP="00000000" w:rsidRDefault="00000000" w:rsidRPr="00000000" w14:paraId="0000001E">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FECHA:  07 DE ENERO 2025</w:t>
            </w:r>
            <w:r w:rsidDel="00000000" w:rsidR="00000000" w:rsidRPr="00000000">
              <w:rPr>
                <w:rtl w:val="0"/>
              </w:rPr>
            </w:r>
          </w:p>
        </w:tc>
        <w:tc>
          <w:tcPr/>
          <w:p w:rsidR="00000000" w:rsidDel="00000000" w:rsidP="00000000" w:rsidRDefault="00000000" w:rsidRPr="00000000" w14:paraId="0000001F">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HORA DE INICIO: 8:00AM</w:t>
            </w:r>
            <w:r w:rsidDel="00000000" w:rsidR="00000000" w:rsidRPr="00000000">
              <w:rPr>
                <w:rtl w:val="0"/>
              </w:rPr>
            </w:r>
          </w:p>
        </w:tc>
        <w:tc>
          <w:tcPr/>
          <w:p w:rsidR="00000000" w:rsidDel="00000000" w:rsidP="00000000" w:rsidRDefault="00000000" w:rsidRPr="00000000" w14:paraId="00000020">
            <w:pPr>
              <w:ind w:left="0" w:right="-108"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HORA FINALIZACIÓN: 8:30 AM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1">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LUGAR:  PRESENCIAL EN LA IPS</w:t>
            </w:r>
            <w:r w:rsidDel="00000000" w:rsidR="00000000" w:rsidRPr="00000000">
              <w:rPr>
                <w:rtl w:val="0"/>
              </w:rPr>
            </w:r>
          </w:p>
        </w:tc>
      </w:tr>
    </w:tbl>
    <w:p w:rsidR="00000000" w:rsidDel="00000000" w:rsidP="00000000" w:rsidRDefault="00000000" w:rsidRPr="00000000" w14:paraId="00000024">
      <w:pPr>
        <w:ind w:left="0" w:hanging="2"/>
        <w:jc w:val="both"/>
        <w:rPr>
          <w:rFonts w:ascii="Arial" w:cs="Arial" w:eastAsia="Arial" w:hAnsi="Arial"/>
          <w:sz w:val="22"/>
          <w:szCs w:val="22"/>
        </w:rPr>
      </w:pPr>
      <w:r w:rsidDel="00000000" w:rsidR="00000000" w:rsidRPr="00000000">
        <w:rPr>
          <w:rtl w:val="0"/>
        </w:rPr>
      </w:r>
    </w:p>
    <w:tbl>
      <w:tblPr>
        <w:tblStyle w:val="Table3"/>
        <w:tblW w:w="9660.0" w:type="dxa"/>
        <w:jc w:val="left"/>
        <w:tblInd w:w="-6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p w:rsidR="00000000" w:rsidDel="00000000" w:rsidP="00000000" w:rsidRDefault="00000000" w:rsidRPr="00000000" w14:paraId="00000025">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TEMAS A TRATAR:</w:t>
            </w:r>
            <w:r w:rsidDel="00000000" w:rsidR="00000000" w:rsidRPr="00000000">
              <w:rPr>
                <w:rtl w:val="0"/>
              </w:rPr>
            </w:r>
          </w:p>
        </w:tc>
      </w:tr>
      <w:tr>
        <w:trPr>
          <w:cantSplit w:val="0"/>
          <w:trHeight w:val="59" w:hRule="atLeast"/>
          <w:tblHeader w:val="0"/>
        </w:trPr>
        <w:tc>
          <w:tcPr/>
          <w:p w:rsidR="00000000" w:rsidDel="00000000" w:rsidP="00000000" w:rsidRDefault="00000000" w:rsidRPr="00000000" w14:paraId="00000026">
            <w:pPr>
              <w:numPr>
                <w:ilvl w:val="0"/>
                <w:numId w:val="2"/>
              </w:numPr>
              <w:ind w:left="0" w:right="-143"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del quórum.</w:t>
            </w:r>
          </w:p>
        </w:tc>
      </w:tr>
      <w:tr>
        <w:trPr>
          <w:cantSplit w:val="0"/>
          <w:tblHeader w:val="0"/>
        </w:trPr>
        <w:tc>
          <w:tcPr/>
          <w:p w:rsidR="00000000" w:rsidDel="00000000" w:rsidP="00000000" w:rsidRDefault="00000000" w:rsidRPr="00000000" w14:paraId="00000027">
            <w:pPr>
              <w:numPr>
                <w:ilvl w:val="0"/>
                <w:numId w:val="2"/>
              </w:numPr>
              <w:ind w:left="0" w:right="-143"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Lectura y aprobación del acta anterior.</w:t>
            </w:r>
          </w:p>
        </w:tc>
      </w:tr>
      <w:tr>
        <w:trPr>
          <w:cantSplit w:val="0"/>
          <w:tblHeader w:val="0"/>
        </w:trPr>
        <w:tc>
          <w:tcPr/>
          <w:p w:rsidR="00000000" w:rsidDel="00000000" w:rsidP="00000000" w:rsidRDefault="00000000" w:rsidRPr="00000000" w14:paraId="00000028">
            <w:pPr>
              <w:numPr>
                <w:ilvl w:val="0"/>
                <w:numId w:val="2"/>
              </w:numPr>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cronograma de comités 2025</w:t>
            </w:r>
          </w:p>
        </w:tc>
      </w:tr>
      <w:tr>
        <w:trPr>
          <w:cantSplit w:val="0"/>
          <w:tblHeader w:val="0"/>
        </w:trPr>
        <w:tc>
          <w:tcPr/>
          <w:p w:rsidR="00000000" w:rsidDel="00000000" w:rsidP="00000000" w:rsidRDefault="00000000" w:rsidRPr="00000000" w14:paraId="00000029">
            <w:pPr>
              <w:numPr>
                <w:ilvl w:val="0"/>
                <w:numId w:val="2"/>
              </w:numPr>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Proposiciones y Varios</w:t>
            </w:r>
          </w:p>
        </w:tc>
      </w:tr>
    </w:tbl>
    <w:p w:rsidR="00000000" w:rsidDel="00000000" w:rsidP="00000000" w:rsidRDefault="00000000" w:rsidRPr="00000000" w14:paraId="0000002A">
      <w:pPr>
        <w:ind w:hanging="2"/>
        <w:jc w:val="both"/>
        <w:rPr>
          <w:rFonts w:ascii="Arial" w:cs="Arial" w:eastAsia="Arial" w:hAnsi="Arial"/>
          <w:sz w:val="22"/>
          <w:szCs w:val="22"/>
        </w:rPr>
      </w:pPr>
      <w:r w:rsidDel="00000000" w:rsidR="00000000" w:rsidRPr="00000000">
        <w:rPr>
          <w:rtl w:val="0"/>
        </w:rPr>
      </w:r>
    </w:p>
    <w:sdt>
      <w:sdtPr>
        <w:lock w:val="contentLocked"/>
        <w:id w:val="746020338"/>
        <w:tag w:val="goog_rdk_0"/>
      </w:sdtPr>
      <w:sdtContent>
        <w:tbl>
          <w:tblPr>
            <w:tblStyle w:val="Table4"/>
            <w:tblW w:w="967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40"/>
            <w:gridCol w:w="720"/>
            <w:gridCol w:w="615"/>
            <w:tblGridChange w:id="0">
              <w:tblGrid>
                <w:gridCol w:w="8340"/>
                <w:gridCol w:w="720"/>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B">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C">
                <w:pPr>
                  <w:spacing w:after="40" w:before="40" w:lineRule="auto"/>
                  <w:ind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CUMPLIÓ</w:t>
                </w:r>
                <w:r w:rsidDel="00000000" w:rsidR="00000000" w:rsidRPr="00000000">
                  <w:rPr>
                    <w:rtl w:val="0"/>
                  </w:rPr>
                </w:r>
              </w:p>
            </w:tc>
          </w:tr>
          <w:tr>
            <w:trPr>
              <w:cantSplit w:val="0"/>
              <w:trHeight w:val="184.20898437500003"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F">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0">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1">
                <w:pPr>
                  <w:numPr>
                    <w:ilvl w:val="0"/>
                    <w:numId w:val="3"/>
                  </w:numPr>
                  <w:spacing w:after="40" w:before="40" w:lineRule="auto"/>
                  <w:ind w:left="720" w:hanging="2.0000000000000284"/>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c>
              <w:tcPr>
                <w:vAlign w:val="center"/>
              </w:tcPr>
              <w:p w:rsidR="00000000" w:rsidDel="00000000" w:rsidP="00000000" w:rsidRDefault="00000000" w:rsidRPr="00000000" w14:paraId="00000032">
                <w:pPr>
                  <w:spacing w:after="40" w:before="40" w:lineRule="auto"/>
                  <w:ind w:hanging="2"/>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40" w:before="40" w:lineRule="auto"/>
                  <w:ind w:hanging="2"/>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34">
      <w:pPr>
        <w:ind w:hanging="2"/>
        <w:jc w:val="both"/>
        <w:rPr>
          <w:rFonts w:ascii="Arial" w:cs="Arial" w:eastAsia="Arial" w:hAnsi="Arial"/>
          <w:sz w:val="22"/>
          <w:szCs w:val="22"/>
        </w:rPr>
      </w:pPr>
      <w:r w:rsidDel="00000000" w:rsidR="00000000" w:rsidRPr="00000000">
        <w:rPr>
          <w:rtl w:val="0"/>
        </w:rPr>
      </w:r>
    </w:p>
    <w:tbl>
      <w:tblPr>
        <w:tblStyle w:val="Table5"/>
        <w:tblW w:w="9630.0" w:type="dxa"/>
        <w:jc w:val="left"/>
        <w:tblInd w:w="-6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p w:rsidR="00000000" w:rsidDel="00000000" w:rsidP="00000000" w:rsidRDefault="00000000" w:rsidRPr="00000000" w14:paraId="00000035">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6">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OBJETIVO DE LA REUNIÓN: Dar apertura oficial al Comité Ambiental de  ENDOCRINOLOGY &amp; HEALTH, socializando sus objetivos, funciones, normatividad vigente y estableciendo los compromisos iniciales de cada uno de sus integrantes.</w:t>
            </w:r>
          </w:p>
          <w:p w:rsidR="00000000" w:rsidDel="00000000" w:rsidP="00000000" w:rsidRDefault="00000000" w:rsidRPr="00000000" w14:paraId="00000037">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SOCIALIZACIÓN DEL COMITÉ AMBIENTAL: El Coordinador del Comité explica que la creación del mismo responde a la necesidad de cumplir con la normativa ambiental vigente en Colombia, en especial la Resolución 2184 de 2019, la Resolución 2338 de 2023, el Decreto 1076 de 2015 y otras regulaciones aplicables. Se enfatiza en que el Comité Ambiental tiene como propósito principal garantizar la adecuada gestión de residuos hospitalarios y peligrosos, fomentar el uso eficiente de los recursos y velar por la sostenibilidad ambiental dentro de la IPS.</w:t>
            </w:r>
          </w:p>
          <w:p w:rsidR="00000000" w:rsidDel="00000000" w:rsidP="00000000" w:rsidRDefault="00000000" w:rsidRPr="00000000" w14:paraId="00000039">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FUNCIONES DEL COMITÉ AMBIENTAL: Se exponen las principales funciones del comité:</w:t>
            </w:r>
          </w:p>
          <w:p w:rsidR="00000000" w:rsidDel="00000000" w:rsidP="00000000" w:rsidRDefault="00000000" w:rsidRPr="00000000" w14:paraId="0000003B">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Implementar y supervisar el Plan de Gestión Integral de Residuos Hospitalarios y Similares (PGIRHS).                                                                                                                                                                                                                                                                  - Garantizar el cumplimiento de las normativas ambientales vigentes.</w:t>
            </w:r>
          </w:p>
          <w:p w:rsidR="00000000" w:rsidDel="00000000" w:rsidP="00000000" w:rsidRDefault="00000000" w:rsidRPr="00000000" w14:paraId="0000003D">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Promover la formación y sensibilización del personal en buenas prácticas ambientales.</w:t>
            </w:r>
          </w:p>
          <w:p w:rsidR="00000000" w:rsidDel="00000000" w:rsidP="00000000" w:rsidRDefault="00000000" w:rsidRPr="00000000" w14:paraId="0000003E">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Realizar auditorías internas sobre el manejo de residuos y consumo de recursos.</w:t>
            </w:r>
          </w:p>
          <w:p w:rsidR="00000000" w:rsidDel="00000000" w:rsidP="00000000" w:rsidRDefault="00000000" w:rsidRPr="00000000" w14:paraId="0000003F">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-Diseñar e implementar estrategias para reducir el impacto ambiental de la IPS.</w:t>
            </w:r>
          </w:p>
          <w:p w:rsidR="00000000" w:rsidDel="00000000" w:rsidP="00000000" w:rsidRDefault="00000000" w:rsidRPr="00000000" w14:paraId="00000040">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Reportar a las autoridades competentes sobre la gestión ambiental cuando sea necesario.</w:t>
            </w:r>
          </w:p>
          <w:p w:rsidR="00000000" w:rsidDel="00000000" w:rsidP="00000000" w:rsidRDefault="00000000" w:rsidRPr="00000000" w14:paraId="00000041">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COMPROMISOS DE LOS INTEGRANTES: Cada integrante asume responsabilidades específicas:</w:t>
            </w:r>
          </w:p>
          <w:p w:rsidR="00000000" w:rsidDel="00000000" w:rsidP="00000000" w:rsidRDefault="00000000" w:rsidRPr="00000000" w14:paraId="00000043">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Gerencia: Garantizar la asignación de recursos para el cumplimiento del PGIRHS y otras iniciativas ambientales.</w:t>
            </w:r>
          </w:p>
          <w:p w:rsidR="00000000" w:rsidDel="00000000" w:rsidP="00000000" w:rsidRDefault="00000000" w:rsidRPr="00000000" w14:paraId="00000045">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Coordinador del Comité Ambiental: Dirigir y coordinar las actividades del comité, asegurar el cumplimiento normativo y liderar auditorías, coordinar capacitaciones ambientales dirigidas al personal de la IPS.</w:t>
            </w:r>
          </w:p>
          <w:p w:rsidR="00000000" w:rsidDel="00000000" w:rsidP="00000000" w:rsidRDefault="00000000" w:rsidRPr="00000000" w14:paraId="00000047">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Responsable de SST: Velar por el cumplimiento de medidas de seguridad ambiental y salud ocupacional.</w:t>
            </w:r>
          </w:p>
          <w:p w:rsidR="00000000" w:rsidDel="00000000" w:rsidP="00000000" w:rsidRDefault="00000000" w:rsidRPr="00000000" w14:paraId="00000049">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Representante del Área Administrativa: Apoyar en la implementación de buenas prácticas ambientales en oficinas y demás espacios administrativos.</w:t>
            </w:r>
          </w:p>
          <w:p w:rsidR="00000000" w:rsidDel="00000000" w:rsidP="00000000" w:rsidRDefault="00000000" w:rsidRPr="00000000" w14:paraId="0000004B">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Auxiliar de Servicios Generales: Aplicar correctamente los protocolos de segregación y disposición de residuos hospitalarios.</w:t>
            </w:r>
          </w:p>
          <w:p w:rsidR="00000000" w:rsidDel="00000000" w:rsidP="00000000" w:rsidRDefault="00000000" w:rsidRPr="00000000" w14:paraId="0000004D">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PRIMERAS ACCIONES A IMPLEMENTAR</w:t>
            </w:r>
          </w:p>
          <w:p w:rsidR="00000000" w:rsidDel="00000000" w:rsidP="00000000" w:rsidRDefault="00000000" w:rsidRPr="00000000" w14:paraId="0000004E">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-Realizar una capacitación inicial sobre manejo de residuos y normativa ambiental.                                                                                                                                                                                                                                                                                                 -Revisar y actualizar el PGIRASA según los nuevos lineamientos.                                                                                                                                                                                                                                                                                                                               -Programar inspecciones internas para evaluar el cumplimiento ambiental. </w:t>
            </w:r>
          </w:p>
          <w:p w:rsidR="00000000" w:rsidDel="00000000" w:rsidP="00000000" w:rsidRDefault="00000000" w:rsidRPr="00000000" w14:paraId="00000050">
            <w:pPr>
              <w:tabs>
                <w:tab w:val="center" w:leader="none" w:pos="4252"/>
                <w:tab w:val="right" w:leader="none" w:pos="8504"/>
              </w:tabs>
              <w:ind w:left="0"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CIERRE DE LA REUNIÓN    </w:t>
            </w:r>
          </w:p>
          <w:p w:rsidR="00000000" w:rsidDel="00000000" w:rsidP="00000000" w:rsidRDefault="00000000" w:rsidRPr="00000000" w14:paraId="00000051">
            <w:pPr>
              <w:tabs>
                <w:tab w:val="center" w:leader="none" w:pos="4252"/>
                <w:tab w:val="right" w:leader="none" w:pos="8504"/>
              </w:tabs>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tabs>
                <w:tab w:val="center" w:leader="none" w:pos="4252"/>
                <w:tab w:val="right" w:leader="none" w:pos="8504"/>
              </w:tabs>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 reitera el compromiso del comité con la mejora continua en la gestión ambiental de la IPS. Se acuerda la próxima reunión para evaluar los avances en la implementación de las acciones propuestas.</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4">
      <w:pPr>
        <w:ind w:hanging="2"/>
        <w:jc w:val="both"/>
        <w:rPr>
          <w:rFonts w:ascii="Arial" w:cs="Arial" w:eastAsia="Arial" w:hAnsi="Arial"/>
          <w:sz w:val="22"/>
          <w:szCs w:val="22"/>
        </w:rPr>
      </w:pPr>
      <w:r w:rsidDel="00000000" w:rsidR="00000000" w:rsidRPr="00000000">
        <w:rPr>
          <w:rtl w:val="0"/>
        </w:rPr>
      </w:r>
    </w:p>
    <w:sdt>
      <w:sdtPr>
        <w:lock w:val="contentLocked"/>
        <w:id w:val="-1569969963"/>
        <w:tag w:val="goog_rdk_1"/>
      </w:sdtPr>
      <w:sdtContent>
        <w:tbl>
          <w:tblPr>
            <w:tblStyle w:val="Table6"/>
            <w:tblW w:w="969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85"/>
            <w:gridCol w:w="2295"/>
            <w:gridCol w:w="2310"/>
            <w:tblGridChange w:id="0">
              <w:tblGrid>
                <w:gridCol w:w="5085"/>
                <w:gridCol w:w="2295"/>
                <w:gridCol w:w="2310"/>
              </w:tblGrid>
            </w:tblGridChange>
          </w:tblGrid>
          <w:tr>
            <w:trPr>
              <w:cantSplit w:val="0"/>
              <w:trHeight w:val="472" w:hRule="atLeast"/>
              <w:tblHeader w:val="0"/>
            </w:trPr>
            <w:tc>
              <w:tcPr>
                <w:vAlign w:val="center"/>
              </w:tcPr>
              <w:p w:rsidR="00000000" w:rsidDel="00000000" w:rsidP="00000000" w:rsidRDefault="00000000" w:rsidRPr="00000000" w14:paraId="00000055">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56">
                <w:pPr>
                  <w:spacing w:after="40" w:before="40" w:lineRule="auto"/>
                  <w:ind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57">
                <w:pPr>
                  <w:spacing w:after="40" w:before="40" w:lineRule="auto"/>
                  <w:ind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58">
                <w:pPr>
                  <w:numPr>
                    <w:ilvl w:val="0"/>
                    <w:numId w:val="1"/>
                  </w:numPr>
                  <w:tabs>
                    <w:tab w:val="center" w:leader="none" w:pos="4252"/>
                    <w:tab w:val="right" w:leader="none" w:pos="8504"/>
                  </w:tabs>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Actualizar el PGIRASA</w:t>
                </w:r>
              </w:p>
            </w:tc>
            <w:tc>
              <w:tcPr>
                <w:vAlign w:val="center"/>
              </w:tcPr>
              <w:p w:rsidR="00000000" w:rsidDel="00000000" w:rsidP="00000000" w:rsidRDefault="00000000" w:rsidRPr="00000000" w14:paraId="00000059">
                <w:pPr>
                  <w:spacing w:after="40" w:before="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Asesor de Calidad</w:t>
                </w:r>
              </w:p>
            </w:tc>
            <w:tc>
              <w:tcPr>
                <w:vAlign w:val="center"/>
              </w:tcPr>
              <w:p w:rsidR="00000000" w:rsidDel="00000000" w:rsidP="00000000" w:rsidRDefault="00000000" w:rsidRPr="00000000" w14:paraId="0000005A">
                <w:pPr>
                  <w:spacing w:after="40" w:before="4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Marzo de 2025.</w:t>
                </w:r>
              </w:p>
            </w:tc>
          </w:tr>
        </w:tbl>
      </w:sdtContent>
    </w:sdt>
    <w:p w:rsidR="00000000" w:rsidDel="00000000" w:rsidP="00000000" w:rsidRDefault="00000000" w:rsidRPr="00000000" w14:paraId="0000005B">
      <w:pPr>
        <w:ind w:hanging="2"/>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C">
      <w:pP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line="276" w:lineRule="auto"/>
        <w:ind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200" w:line="276" w:lineRule="auto"/>
        <w:ind w:firstLine="0"/>
        <w:rPr>
          <w:rFonts w:ascii="Arial" w:cs="Arial" w:eastAsia="Arial" w:hAnsi="Arial"/>
        </w:rPr>
      </w:pPr>
      <w:r w:rsidDel="00000000" w:rsidR="00000000" w:rsidRPr="00000000">
        <w:rPr>
          <w:rtl w:val="0"/>
        </w:rPr>
      </w:r>
    </w:p>
    <w:sdt>
      <w:sdtPr>
        <w:lock w:val="contentLocked"/>
        <w:id w:val="1670418213"/>
        <w:tag w:val="goog_rdk_2"/>
      </w:sdtPr>
      <w:sdtContent>
        <w:tbl>
          <w:tblPr>
            <w:tblStyle w:val="Table7"/>
            <w:tblW w:w="9510.0" w:type="dxa"/>
            <w:jc w:val="left"/>
            <w:tblInd w:w="-6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510"/>
            <w:gridCol w:w="3240"/>
            <w:tblGridChange w:id="0">
              <w:tblGrid>
                <w:gridCol w:w="2760"/>
                <w:gridCol w:w="3510"/>
                <w:gridCol w:w="3240"/>
              </w:tblGrid>
            </w:tblGridChange>
          </w:tblGrid>
          <w:tr>
            <w:trPr>
              <w:cantSplit w:val="0"/>
              <w:tblHeader w:val="0"/>
            </w:trPr>
            <w:tc>
              <w:tcPr>
                <w:gridSpan w:val="3"/>
                <w:shd w:fill="d9d9d9" w:val="clear"/>
                <w:vAlign w:val="center"/>
              </w:tcPr>
              <w:p w:rsidR="00000000" w:rsidDel="00000000" w:rsidP="00000000" w:rsidRDefault="00000000" w:rsidRPr="00000000" w14:paraId="00000060">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PARTICIPANTES</w:t>
                </w:r>
              </w:p>
            </w:tc>
          </w:tr>
          <w:tr>
            <w:trPr>
              <w:cantSplit w:val="0"/>
              <w:trHeight w:val="375" w:hRule="atLeast"/>
              <w:tblHeader w:val="0"/>
            </w:trPr>
            <w:tc>
              <w:tcPr>
                <w:shd w:fill="d9d9d9" w:val="clear"/>
                <w:vAlign w:val="center"/>
              </w:tcPr>
              <w:p w:rsidR="00000000" w:rsidDel="00000000" w:rsidP="00000000" w:rsidRDefault="00000000" w:rsidRPr="00000000" w14:paraId="00000063">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Nombre</w:t>
                </w:r>
              </w:p>
            </w:tc>
            <w:tc>
              <w:tcPr>
                <w:shd w:fill="d9d9d9" w:val="clear"/>
                <w:vAlign w:val="center"/>
              </w:tcPr>
              <w:p w:rsidR="00000000" w:rsidDel="00000000" w:rsidP="00000000" w:rsidRDefault="00000000" w:rsidRPr="00000000" w14:paraId="00000064">
                <w:pPr>
                  <w:ind w:left="851" w:hanging="851"/>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Cargo</w:t>
                </w:r>
              </w:p>
            </w:tc>
            <w:tc>
              <w:tcPr>
                <w:shd w:fill="d9d9d9" w:val="clear"/>
                <w:vAlign w:val="center"/>
              </w:tcPr>
              <w:p w:rsidR="00000000" w:rsidDel="00000000" w:rsidP="00000000" w:rsidRDefault="00000000" w:rsidRPr="00000000" w14:paraId="00000065">
                <w:pPr>
                  <w:ind w:firstLine="34"/>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Firma</w:t>
                </w:r>
              </w:p>
            </w:tc>
          </w:tr>
          <w:tr>
            <w:trPr>
              <w:cantSplit w:val="0"/>
              <w:trHeight w:val="698.1103515625001" w:hRule="atLeast"/>
              <w:tblHeader w:val="0"/>
            </w:trPr>
            <w:tc>
              <w:tcPr>
                <w:shd w:fill="ffffff" w:val="clear"/>
                <w:vAlign w:val="center"/>
              </w:tcPr>
              <w:p w:rsidR="00000000" w:rsidDel="00000000" w:rsidP="00000000" w:rsidRDefault="00000000" w:rsidRPr="00000000" w14:paraId="00000066">
                <w:pPr>
                  <w:spacing w:before="240"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Carlos Javier Vizcaino</w:t>
                </w:r>
              </w:p>
            </w:tc>
            <w:tc>
              <w:tcPr>
                <w:shd w:fill="ffffff" w:val="clear"/>
                <w:vAlign w:val="center"/>
              </w:tcPr>
              <w:p w:rsidR="00000000" w:rsidDel="00000000" w:rsidP="00000000" w:rsidRDefault="00000000" w:rsidRPr="00000000" w14:paraId="00000067">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Gerente</w:t>
                </w:r>
              </w:p>
            </w:tc>
            <w:tc>
              <w:tcPr>
                <w:shd w:fill="ffffff" w:val="clear"/>
                <w:vAlign w:val="center"/>
              </w:tcPr>
              <w:p w:rsidR="00000000" w:rsidDel="00000000" w:rsidP="00000000" w:rsidRDefault="00000000" w:rsidRPr="00000000" w14:paraId="00000068">
                <w:pPr>
                  <w:spacing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117517" cy="368412"/>
                      <wp:effectExtent b="0" l="0" r="0" t="0"/>
                      <wp:docPr id="108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90" w:hRule="atLeast"/>
              <w:tblHeader w:val="0"/>
            </w:trPr>
            <w:tc>
              <w:tcPr>
                <w:shd w:fill="ffffff" w:val="clear"/>
                <w:vAlign w:val="center"/>
              </w:tcPr>
              <w:p w:rsidR="00000000" w:rsidDel="00000000" w:rsidP="00000000" w:rsidRDefault="00000000" w:rsidRPr="00000000" w14:paraId="00000069">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Melanie Veloza</w:t>
                </w:r>
              </w:p>
            </w:tc>
            <w:tc>
              <w:tcPr>
                <w:shd w:fill="ffffff" w:val="clear"/>
                <w:vAlign w:val="center"/>
              </w:tcPr>
              <w:p w:rsidR="00000000" w:rsidDel="00000000" w:rsidP="00000000" w:rsidRDefault="00000000" w:rsidRPr="00000000" w14:paraId="0000006A">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Auxiliar Administrativa</w:t>
                </w:r>
              </w:p>
            </w:tc>
            <w:tc>
              <w:tcPr>
                <w:shd w:fill="ffffff" w:val="clear"/>
                <w:vAlign w:val="center"/>
              </w:tcPr>
              <w:p w:rsidR="00000000" w:rsidDel="00000000" w:rsidP="00000000" w:rsidRDefault="00000000" w:rsidRPr="00000000" w14:paraId="0000006B">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32548" cy="352356"/>
                      <wp:effectExtent b="0" l="0" r="0" t="0"/>
                      <wp:docPr id="108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45" w:hRule="atLeast"/>
              <w:tblHeader w:val="0"/>
            </w:trPr>
            <w:tc>
              <w:tcPr>
                <w:shd w:fill="ffffff" w:val="clear"/>
                <w:vAlign w:val="center"/>
              </w:tcPr>
              <w:p w:rsidR="00000000" w:rsidDel="00000000" w:rsidP="00000000" w:rsidRDefault="00000000" w:rsidRPr="00000000" w14:paraId="0000006C">
                <w:pPr>
                  <w:ind w:right="180.3543307086613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Kelly Dayana Canacue</w:t>
                </w:r>
              </w:p>
            </w:tc>
            <w:tc>
              <w:tcPr>
                <w:shd w:fill="ffffff" w:val="clear"/>
                <w:vAlign w:val="center"/>
              </w:tcPr>
              <w:p w:rsidR="00000000" w:rsidDel="00000000" w:rsidP="00000000" w:rsidRDefault="00000000" w:rsidRPr="00000000" w14:paraId="0000006D">
                <w:pPr>
                  <w:spacing w:after="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Profesional Calidad</w:t>
                </w:r>
              </w:p>
            </w:tc>
            <w:tc>
              <w:tcPr>
                <w:shd w:fill="ffffff" w:val="clear"/>
                <w:vAlign w:val="center"/>
              </w:tcPr>
              <w:p w:rsidR="00000000" w:rsidDel="00000000" w:rsidP="00000000" w:rsidRDefault="00000000" w:rsidRPr="00000000" w14:paraId="0000006E">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019175" cy="444500"/>
                      <wp:effectExtent b="0" l="0" r="0" t="0"/>
                      <wp:docPr id="10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19175" cy="44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6F">
      <w:pPr>
        <w:spacing w:after="200" w:line="276" w:lineRule="auto"/>
        <w:ind w:firstLine="0"/>
        <w:rPr>
          <w:rFonts w:ascii="Century Gothic" w:cs="Century Gothic" w:eastAsia="Century Gothic" w:hAnsi="Century Gothic"/>
          <w:sz w:val="22"/>
          <w:szCs w:val="22"/>
        </w:rPr>
      </w:pPr>
      <w:r w:rsidDel="00000000" w:rsidR="00000000" w:rsidRPr="00000000">
        <w:rPr>
          <w:rtl w:val="0"/>
        </w:rPr>
      </w:r>
    </w:p>
    <w:sectPr>
      <w:headerReference r:id="rId10" w:type="default"/>
      <w:footerReference r:id="rId11"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widowControl w:val="0"/>
      <w:spacing w:line="276" w:lineRule="auto"/>
      <w:ind w:firstLine="0"/>
      <w:rPr>
        <w:rFonts w:ascii="Calibri" w:cs="Calibri" w:eastAsia="Calibri" w:hAnsi="Calibri"/>
      </w:rPr>
    </w:pPr>
    <w:r w:rsidDel="00000000" w:rsidR="00000000" w:rsidRPr="00000000">
      <w:rPr>
        <w:rtl w:val="0"/>
      </w:rPr>
    </w:r>
  </w:p>
  <w:sdt>
    <w:sdtPr>
      <w:lock w:val="contentLocked"/>
      <w:id w:val="1646643473"/>
      <w:tag w:val="goog_rdk_3"/>
    </w:sdtPr>
    <w:sdtContent>
      <w:tbl>
        <w:tblPr>
          <w:tblStyle w:val="Table9"/>
          <w:tblW w:w="9420.0" w:type="dxa"/>
          <w:jc w:val="left"/>
          <w:tblInd w:w="-5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495"/>
          <w:gridCol w:w="3045"/>
          <w:tblGridChange w:id="0">
            <w:tblGrid>
              <w:gridCol w:w="2880"/>
              <w:gridCol w:w="3495"/>
              <w:gridCol w:w="3045"/>
            </w:tblGrid>
          </w:tblGridChange>
        </w:tblGrid>
        <w:tr>
          <w:trPr>
            <w:cantSplit w:val="0"/>
            <w:tblHeader w:val="0"/>
          </w:trPr>
          <w:tc>
            <w:tcPr>
              <w:shd w:fill="auto" w:val="clear"/>
            </w:tcPr>
            <w:p w:rsidR="00000000" w:rsidDel="00000000" w:rsidP="00000000" w:rsidRDefault="00000000" w:rsidRPr="00000000" w14:paraId="0000007C">
              <w:pPr>
                <w:tabs>
                  <w:tab w:val="center" w:leader="none" w:pos="4419"/>
                  <w:tab w:val="right" w:leader="none" w:pos="8838"/>
                </w:tabs>
                <w:ind w:right="73.46456692913421"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7D">
              <w:pPr>
                <w:tabs>
                  <w:tab w:val="center" w:leader="none" w:pos="4419"/>
                  <w:tab w:val="right" w:leader="none" w:pos="8838"/>
                </w:tabs>
                <w:ind w:right="90.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7E">
              <w:pPr>
                <w:tabs>
                  <w:tab w:val="center" w:leader="none" w:pos="4419"/>
                  <w:tab w:val="right" w:leader="none" w:pos="8838"/>
                </w:tabs>
                <w:ind w:right="45.35433070866134"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7F">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80">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81">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82">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83">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84">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85">
    <w:pPr>
      <w:tabs>
        <w:tab w:val="center" w:leader="none" w:pos="4419"/>
        <w:tab w:val="right" w:leader="none" w:pos="8838"/>
      </w:tabs>
      <w:ind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rFonts w:ascii="Century Gothic" w:cs="Century Gothic" w:eastAsia="Century Gothic" w:hAnsi="Century Gothic"/>
        <w:sz w:val="10"/>
        <w:szCs w:val="10"/>
      </w:rPr>
    </w:pPr>
    <w:r w:rsidDel="00000000" w:rsidR="00000000" w:rsidRPr="00000000">
      <w:rPr>
        <w:rtl w:val="0"/>
      </w:rPr>
    </w:r>
  </w:p>
  <w:p w:rsidR="00000000" w:rsidDel="00000000" w:rsidP="00000000" w:rsidRDefault="00000000" w:rsidRPr="00000000" w14:paraId="00000071">
    <w:pPr>
      <w:widowControl w:val="0"/>
      <w:ind w:hanging="2"/>
      <w:rPr>
        <w:rFonts w:ascii="Century Gothic" w:cs="Century Gothic" w:eastAsia="Century Gothic" w:hAnsi="Century Gothic"/>
        <w:sz w:val="10"/>
        <w:szCs w:val="10"/>
      </w:rPr>
    </w:pPr>
    <w:r w:rsidDel="00000000" w:rsidR="00000000" w:rsidRPr="00000000">
      <w:rPr>
        <w:rtl w:val="0"/>
      </w:rPr>
    </w:r>
  </w:p>
  <w:tbl>
    <w:tblPr>
      <w:tblStyle w:val="Table8"/>
      <w:tblW w:w="9585.0" w:type="dxa"/>
      <w:jc w:val="left"/>
      <w:tblInd w:w="-588.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10"/>
      <w:gridCol w:w="2475"/>
      <w:tblGridChange w:id="0">
        <w:tblGrid>
          <w:gridCol w:w="2400"/>
          <w:gridCol w:w="4710"/>
          <w:gridCol w:w="2475"/>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72">
          <w:pPr>
            <w:tabs>
              <w:tab w:val="center" w:leader="none" w:pos="4252"/>
              <w:tab w:val="right" w:leader="none" w:pos="8504"/>
            </w:tabs>
            <w:ind w:firstLine="0"/>
            <w:rPr>
              <w:rFonts w:ascii="Arial" w:cs="Arial" w:eastAsia="Arial" w:hAnsi="Arial"/>
            </w:rPr>
          </w:pPr>
          <w:r w:rsidDel="00000000" w:rsidR="00000000" w:rsidRPr="00000000">
            <w:rPr>
              <w:rFonts w:ascii="Arial" w:cs="Arial" w:eastAsia="Arial" w:hAnsi="Arial"/>
            </w:rPr>
            <w:drawing>
              <wp:inline distB="0" distT="0" distL="114300" distR="114300">
                <wp:extent cx="1390650" cy="736600"/>
                <wp:effectExtent b="0" l="0" r="0" t="0"/>
                <wp:docPr id="1086" name="image1.png"/>
                <a:graphic>
                  <a:graphicData uri="http://schemas.openxmlformats.org/drawingml/2006/picture">
                    <pic:pic>
                      <pic:nvPicPr>
                        <pic:cNvPr id="0" name="image1.png"/>
                        <pic:cNvPicPr preferRelativeResize="0"/>
                      </pic:nvPicPr>
                      <pic:blipFill>
                        <a:blip r:embed="rId1"/>
                        <a:srcRect b="24536" l="13764" r="15575" t="23751"/>
                        <a:stretch>
                          <a:fillRect/>
                        </a:stretch>
                      </pic:blipFill>
                      <pic:spPr>
                        <a:xfrm>
                          <a:off x="0" y="0"/>
                          <a:ext cx="1390650" cy="7366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3">
          <w:pPr>
            <w:tabs>
              <w:tab w:val="center" w:leader="none" w:pos="4252"/>
              <w:tab w:val="right" w:leader="none" w:pos="8504"/>
            </w:tabs>
            <w:ind w:hanging="2"/>
            <w:jc w:val="center"/>
            <w:rPr>
              <w:rFonts w:ascii="Arial" w:cs="Arial" w:eastAsia="Arial" w:hAnsi="Arial"/>
            </w:rPr>
          </w:pPr>
          <w:r w:rsidDel="00000000" w:rsidR="00000000" w:rsidRPr="00000000">
            <w:rPr>
              <w:rFonts w:ascii="Arial" w:cs="Arial" w:eastAsia="Arial" w:hAnsi="Arial"/>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tabs>
              <w:tab w:val="center" w:leader="none" w:pos="4252"/>
              <w:tab w:val="right" w:leader="none" w:pos="8504"/>
            </w:tabs>
            <w:ind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5">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6">
          <w:pPr>
            <w:widowControl w:val="0"/>
            <w:spacing w:line="276" w:lineRule="auto"/>
            <w:ind w:firstLine="0"/>
            <w:rPr>
              <w:rFonts w:ascii="Arial" w:cs="Arial" w:eastAsia="Arial" w:hAnsi="Arial"/>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7">
          <w:pPr>
            <w:widowControl w:val="0"/>
            <w:spacing w:line="276" w:lineRule="auto"/>
            <w:ind w:firstLine="0"/>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CÓDIGO:</w:t>
          </w:r>
          <w:r w:rsidDel="00000000" w:rsidR="00000000" w:rsidRPr="00000000">
            <w:rPr>
              <w:rtl w:val="0"/>
            </w:rPr>
          </w:r>
        </w:p>
        <w:p w:rsidR="00000000" w:rsidDel="00000000" w:rsidP="00000000" w:rsidRDefault="00000000" w:rsidRPr="00000000" w14:paraId="00000079">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PP-FR-002</w:t>
          </w:r>
        </w:p>
      </w:tc>
    </w:tr>
  </w:tbl>
  <w:p w:rsidR="00000000" w:rsidDel="00000000" w:rsidP="00000000" w:rsidRDefault="00000000" w:rsidRPr="00000000" w14:paraId="0000007A">
    <w:pPr>
      <w:tabs>
        <w:tab w:val="center" w:leader="none" w:pos="4252"/>
        <w:tab w:val="right" w:leader="none" w:pos="8504"/>
      </w:tabs>
      <w:ind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c"/>
    <w:tblPr>
      <w:tblStyleRowBandSize w:val="1"/>
      <w:tblStyleColBandSize w:val="1"/>
      <w:tblCellMar>
        <w:left w:w="108.0" w:type="dxa"/>
        <w:right w:w="108.0" w:type="dxa"/>
      </w:tblCellMar>
    </w:tblPr>
  </w:style>
  <w:style w:type="table" w:styleId="a0" w:customStyle="1">
    <w:basedOn w:val="TableNormalc"/>
    <w:tblPr>
      <w:tblStyleRowBandSize w:val="1"/>
      <w:tblStyleColBandSize w:val="1"/>
      <w:tblCellMar>
        <w:left w:w="108.0" w:type="dxa"/>
        <w:right w:w="108.0" w:type="dxa"/>
      </w:tblCellMar>
    </w:tblPr>
  </w:style>
  <w:style w:type="table" w:styleId="a1" w:customStyle="1">
    <w:basedOn w:val="TableNormalc"/>
    <w:tblPr>
      <w:tblStyleRowBandSize w:val="1"/>
      <w:tblStyleColBandSize w:val="1"/>
      <w:tblCellMar>
        <w:left w:w="108.0" w:type="dxa"/>
        <w:right w:w="108.0" w:type="dxa"/>
      </w:tblCellMar>
    </w:tblPr>
  </w:style>
  <w:style w:type="table" w:styleId="a2" w:customStyle="1">
    <w:basedOn w:val="TableNormalc"/>
    <w:tblPr>
      <w:tblStyleRowBandSize w:val="1"/>
      <w:tblStyleColBandSize w:val="1"/>
      <w:tblCellMar>
        <w:left w:w="108.0" w:type="dxa"/>
        <w:right w:w="108.0" w:type="dxa"/>
      </w:tblCellMar>
    </w:tblPr>
  </w:style>
  <w:style w:type="table" w:styleId="a3" w:customStyle="1">
    <w:basedOn w:val="TableNormalc"/>
    <w:tblPr>
      <w:tblStyleRowBandSize w:val="1"/>
      <w:tblStyleColBandSize w:val="1"/>
      <w:tblCellMar>
        <w:left w:w="70.0" w:type="dxa"/>
        <w:right w:w="70.0" w:type="dxa"/>
      </w:tblCellMar>
    </w:tblPr>
  </w:style>
  <w:style w:type="table" w:styleId="a4" w:customStyle="1">
    <w:basedOn w:val="TableNormalc"/>
    <w:tblPr>
      <w:tblStyleRowBandSize w:val="1"/>
      <w:tblStyleColBandSize w:val="1"/>
      <w:tblCellMar>
        <w:left w:w="70.0" w:type="dxa"/>
        <w:right w:w="70.0" w:type="dxa"/>
      </w:tblCellMar>
    </w:tblPr>
  </w:style>
  <w:style w:type="table" w:styleId="a5" w:customStyle="1">
    <w:basedOn w:val="TableNormalc"/>
    <w:tblPr>
      <w:tblStyleRowBandSize w:val="1"/>
      <w:tblStyleColBandSize w:val="1"/>
      <w:tblCellMar>
        <w:left w:w="108.0" w:type="dxa"/>
        <w:right w:w="108.0" w:type="dxa"/>
      </w:tblCellMar>
    </w:tblPr>
  </w:style>
  <w:style w:type="table" w:styleId="a6" w:customStyle="1">
    <w:basedOn w:val="TableNormalc"/>
    <w:tblPr>
      <w:tblStyleRowBandSize w:val="1"/>
      <w:tblStyleColBandSize w:val="1"/>
      <w:tblCellMar>
        <w:left w:w="70.0" w:type="dxa"/>
        <w:right w:w="70.0" w:type="dxa"/>
      </w:tblCellMar>
    </w:tblPr>
  </w:style>
  <w:style w:type="table" w:styleId="a7" w:customStyle="1">
    <w:basedOn w:val="TableNormalc"/>
    <w:tblPr>
      <w:tblStyleRowBandSize w:val="1"/>
      <w:tblStyleColBandSize w:val="1"/>
      <w:tblCellMar>
        <w:left w:w="108.0" w:type="dxa"/>
        <w:right w:w="108.0" w:type="dxa"/>
      </w:tblCellMar>
    </w:tblPr>
  </w:style>
  <w:style w:type="table" w:styleId="a8" w:customStyle="1">
    <w:basedOn w:val="TableNormalc"/>
    <w:tblPr>
      <w:tblStyleRowBandSize w:val="1"/>
      <w:tblStyleColBandSize w:val="1"/>
      <w:tblCellMar>
        <w:left w:w="108.0" w:type="dxa"/>
        <w:right w:w="108.0" w:type="dxa"/>
      </w:tblCellMar>
    </w:tblPr>
  </w:style>
  <w:style w:type="table" w:styleId="a9" w:customStyle="1">
    <w:basedOn w:val="TableNormalc"/>
    <w:tblPr>
      <w:tblStyleRowBandSize w:val="1"/>
      <w:tblStyleColBandSize w:val="1"/>
      <w:tblCellMar>
        <w:left w:w="108.0" w:type="dxa"/>
        <w:right w:w="108.0" w:type="dxa"/>
      </w:tblCellMar>
    </w:tblPr>
  </w:style>
  <w:style w:type="table" w:styleId="aa" w:customStyle="1">
    <w:basedOn w:val="TableNormalc"/>
    <w:tblPr>
      <w:tblStyleRowBandSize w:val="1"/>
      <w:tblStyleColBandSize w:val="1"/>
      <w:tblCellMar>
        <w:left w:w="108.0" w:type="dxa"/>
        <w:right w:w="108.0" w:type="dxa"/>
      </w:tblCellMar>
    </w:tblPr>
  </w:style>
  <w:style w:type="table" w:styleId="ab" w:customStyle="1">
    <w:basedOn w:val="TableNormalc"/>
    <w:tblPr>
      <w:tblStyleRowBandSize w:val="1"/>
      <w:tblStyleColBandSize w:val="1"/>
      <w:tblCellMar>
        <w:left w:w="108.0" w:type="dxa"/>
        <w:right w:w="108.0" w:type="dxa"/>
      </w:tblCellMar>
    </w:tblPr>
  </w:style>
  <w:style w:type="table" w:styleId="ac" w:customStyle="1">
    <w:basedOn w:val="TableNormalc"/>
    <w:tblPr>
      <w:tblStyleRowBandSize w:val="1"/>
      <w:tblStyleColBandSize w:val="1"/>
      <w:tblCellMar>
        <w:left w:w="108.0" w:type="dxa"/>
        <w:right w:w="108.0" w:type="dxa"/>
      </w:tblCellMar>
    </w:tblPr>
  </w:style>
  <w:style w:type="table" w:styleId="ad" w:customStyle="1">
    <w:basedOn w:val="TableNormalc"/>
    <w:tblPr>
      <w:tblStyleRowBandSize w:val="1"/>
      <w:tblStyleColBandSize w:val="1"/>
      <w:tblCellMar>
        <w:left w:w="108.0" w:type="dxa"/>
        <w:right w:w="108.0" w:type="dxa"/>
      </w:tblCellMar>
    </w:tblPr>
  </w:style>
  <w:style w:type="table" w:styleId="ae" w:customStyle="1">
    <w:basedOn w:val="TableNormalc"/>
    <w:tblPr>
      <w:tblStyleRowBandSize w:val="1"/>
      <w:tblStyleColBandSize w:val="1"/>
      <w:tblCellMar>
        <w:left w:w="108.0" w:type="dxa"/>
        <w:right w:w="108.0" w:type="dxa"/>
      </w:tblCellMar>
    </w:tblPr>
  </w:style>
  <w:style w:type="table" w:styleId="af" w:customStyle="1">
    <w:basedOn w:val="TableNormalc"/>
    <w:tblPr>
      <w:tblStyleRowBandSize w:val="1"/>
      <w:tblStyleColBandSize w:val="1"/>
      <w:tblCellMar>
        <w:left w:w="108.0" w:type="dxa"/>
        <w:right w:w="108.0" w:type="dxa"/>
      </w:tblCellMar>
    </w:tblPr>
  </w:style>
  <w:style w:type="table" w:styleId="af0" w:customStyle="1">
    <w:basedOn w:val="TableNormalc"/>
    <w:tblPr>
      <w:tblStyleRowBandSize w:val="1"/>
      <w:tblStyleColBandSize w:val="1"/>
      <w:tblCellMar>
        <w:left w:w="108.0" w:type="dxa"/>
        <w:right w:w="108.0" w:type="dxa"/>
      </w:tblCellMar>
    </w:tblPr>
  </w:style>
  <w:style w:type="table" w:styleId="af1" w:customStyle="1">
    <w:basedOn w:val="TableNormalc"/>
    <w:tblPr>
      <w:tblStyleRowBandSize w:val="1"/>
      <w:tblStyleColBandSize w:val="1"/>
      <w:tblCellMar>
        <w:left w:w="108.0" w:type="dxa"/>
        <w:right w:w="108.0" w:type="dxa"/>
      </w:tblCellMar>
    </w:tblPr>
  </w:style>
  <w:style w:type="table" w:styleId="af2" w:customStyle="1">
    <w:basedOn w:val="TableNormalc"/>
    <w:tblPr>
      <w:tblStyleRowBandSize w:val="1"/>
      <w:tblStyleColBandSize w:val="1"/>
      <w:tblCellMar>
        <w:left w:w="108.0" w:type="dxa"/>
        <w:right w:w="108.0" w:type="dxa"/>
      </w:tblCellMar>
    </w:tblPr>
  </w:style>
  <w:style w:type="table" w:styleId="af3" w:customStyle="1">
    <w:basedOn w:val="TableNormalc"/>
    <w:tblPr>
      <w:tblStyleRowBandSize w:val="1"/>
      <w:tblStyleColBandSize w:val="1"/>
      <w:tblCellMar>
        <w:left w:w="108.0" w:type="dxa"/>
        <w:right w:w="108.0" w:type="dxa"/>
      </w:tblCellMar>
    </w:tblPr>
  </w:style>
  <w:style w:type="table" w:styleId="af4" w:customStyle="1">
    <w:basedOn w:val="TableNormalc"/>
    <w:tblPr>
      <w:tblStyleRowBandSize w:val="1"/>
      <w:tblStyleColBandSize w:val="1"/>
      <w:tblCellMar>
        <w:left w:w="108.0" w:type="dxa"/>
        <w:right w:w="108.0" w:type="dxa"/>
      </w:tblCellMar>
    </w:tblPr>
  </w:style>
  <w:style w:type="table" w:styleId="af5" w:customStyle="1">
    <w:basedOn w:val="TableNormalc"/>
    <w:tblPr>
      <w:tblStyleRowBandSize w:val="1"/>
      <w:tblStyleColBandSize w:val="1"/>
      <w:tblCellMar>
        <w:left w:w="108.0" w:type="dxa"/>
        <w:right w:w="108.0" w:type="dxa"/>
      </w:tblCellMar>
    </w:tblPr>
  </w:style>
  <w:style w:type="table" w:styleId="af6" w:customStyle="1">
    <w:basedOn w:val="TableNormalc"/>
    <w:tblPr>
      <w:tblStyleRowBandSize w:val="1"/>
      <w:tblStyleColBandSize w:val="1"/>
      <w:tblCellMar>
        <w:left w:w="108.0" w:type="dxa"/>
        <w:right w:w="108.0" w:type="dxa"/>
      </w:tblCellMar>
    </w:tblPr>
  </w:style>
  <w:style w:type="table" w:styleId="af7" w:customStyle="1">
    <w:basedOn w:val="TableNormalc"/>
    <w:tblPr>
      <w:tblStyleRowBandSize w:val="1"/>
      <w:tblStyleColBandSize w:val="1"/>
      <w:tblCellMar>
        <w:left w:w="108.0" w:type="dxa"/>
        <w:right w:w="108.0" w:type="dxa"/>
      </w:tblCellMar>
    </w:tblPr>
  </w:style>
  <w:style w:type="table" w:styleId="af8" w:customStyle="1">
    <w:basedOn w:val="TableNormalc"/>
    <w:tblPr>
      <w:tblStyleRowBandSize w:val="1"/>
      <w:tblStyleColBandSize w:val="1"/>
      <w:tblCellMar>
        <w:left w:w="108.0" w:type="dxa"/>
        <w:right w:w="108.0" w:type="dxa"/>
      </w:tblCellMar>
    </w:tblPr>
  </w:style>
  <w:style w:type="table" w:styleId="af9" w:customStyle="1">
    <w:basedOn w:val="TableNormalc"/>
    <w:tblPr>
      <w:tblStyleRowBandSize w:val="1"/>
      <w:tblStyleColBandSize w:val="1"/>
      <w:tblCellMar>
        <w:left w:w="108.0" w:type="dxa"/>
        <w:right w:w="108.0" w:type="dxa"/>
      </w:tblCellMar>
    </w:tblPr>
  </w:style>
  <w:style w:type="table" w:styleId="afa" w:customStyle="1">
    <w:basedOn w:val="TableNormalc"/>
    <w:tblPr>
      <w:tblStyleRowBandSize w:val="1"/>
      <w:tblStyleColBandSize w:val="1"/>
      <w:tblCellMar>
        <w:left w:w="108.0" w:type="dxa"/>
        <w:right w:w="108.0" w:type="dxa"/>
      </w:tblCellMar>
    </w:tblPr>
  </w:style>
  <w:style w:type="table" w:styleId="afb" w:customStyle="1">
    <w:basedOn w:val="TableNormalc"/>
    <w:tblPr>
      <w:tblStyleRowBandSize w:val="1"/>
      <w:tblStyleColBandSize w:val="1"/>
      <w:tblCellMar>
        <w:left w:w="108.0" w:type="dxa"/>
        <w:right w:w="108.0" w:type="dxa"/>
      </w:tblCellMar>
    </w:tblPr>
  </w:style>
  <w:style w:type="table" w:styleId="afc" w:customStyle="1">
    <w:basedOn w:val="TableNormalc"/>
    <w:tblPr>
      <w:tblStyleRowBandSize w:val="1"/>
      <w:tblStyleColBandSize w:val="1"/>
      <w:tblCellMar>
        <w:left w:w="108.0" w:type="dxa"/>
        <w:right w:w="108.0" w:type="dxa"/>
      </w:tblCellMar>
    </w:tblPr>
  </w:style>
  <w:style w:type="table" w:styleId="afd" w:customStyle="1">
    <w:basedOn w:val="TableNormalc"/>
    <w:tblPr>
      <w:tblStyleRowBandSize w:val="1"/>
      <w:tblStyleColBandSize w:val="1"/>
      <w:tblCellMar>
        <w:left w:w="108.0" w:type="dxa"/>
        <w:right w:w="108.0" w:type="dxa"/>
      </w:tblCellMar>
    </w:tblPr>
  </w:style>
  <w:style w:type="table" w:styleId="afe" w:customStyle="1">
    <w:basedOn w:val="TableNormalc"/>
    <w:tblPr>
      <w:tblStyleRowBandSize w:val="1"/>
      <w:tblStyleColBandSize w:val="1"/>
      <w:tblCellMar>
        <w:left w:w="108.0" w:type="dxa"/>
        <w:right w:w="108.0" w:type="dxa"/>
      </w:tblCellMar>
    </w:tblPr>
  </w:style>
  <w:style w:type="table" w:styleId="aff" w:customStyle="1">
    <w:basedOn w:val="TableNormalc"/>
    <w:tblPr>
      <w:tblStyleRowBandSize w:val="1"/>
      <w:tblStyleColBandSize w:val="1"/>
      <w:tblCellMar>
        <w:left w:w="108.0" w:type="dxa"/>
        <w:right w:w="108.0" w:type="dxa"/>
      </w:tblCellMar>
    </w:tblPr>
  </w:style>
  <w:style w:type="table" w:styleId="aff0" w:customStyle="1">
    <w:basedOn w:val="TableNormalc"/>
    <w:tblPr>
      <w:tblStyleRowBandSize w:val="1"/>
      <w:tblStyleColBandSize w:val="1"/>
      <w:tblCellMar>
        <w:left w:w="108.0" w:type="dxa"/>
        <w:right w:w="108.0" w:type="dxa"/>
      </w:tblCellMar>
    </w:tblPr>
  </w:style>
  <w:style w:type="table" w:styleId="aff1" w:customStyle="1">
    <w:basedOn w:val="TableNormalc"/>
    <w:tblPr>
      <w:tblStyleRowBandSize w:val="1"/>
      <w:tblStyleColBandSize w:val="1"/>
      <w:tblCellMar>
        <w:left w:w="108.0" w:type="dxa"/>
        <w:right w:w="108.0" w:type="dxa"/>
      </w:tblCellMar>
    </w:tblPr>
  </w:style>
  <w:style w:type="table" w:styleId="aff2" w:customStyle="1">
    <w:basedOn w:val="TableNormalc"/>
    <w:tblPr>
      <w:tblStyleRowBandSize w:val="1"/>
      <w:tblStyleColBandSize w:val="1"/>
      <w:tblCellMar>
        <w:left w:w="108.0" w:type="dxa"/>
        <w:right w:w="108.0" w:type="dxa"/>
      </w:tblCellMar>
    </w:tblPr>
  </w:style>
  <w:style w:type="table" w:styleId="aff3" w:customStyle="1">
    <w:basedOn w:val="TableNormalc"/>
    <w:tblPr>
      <w:tblStyleRowBandSize w:val="1"/>
      <w:tblStyleColBandSize w:val="1"/>
      <w:tblCellMar>
        <w:left w:w="108.0" w:type="dxa"/>
        <w:right w:w="108.0" w:type="dxa"/>
      </w:tblCellMar>
    </w:tblPr>
  </w:style>
  <w:style w:type="table" w:styleId="aff4" w:customStyle="1">
    <w:basedOn w:val="TableNormalc"/>
    <w:tblPr>
      <w:tblStyleRowBandSize w:val="1"/>
      <w:tblStyleColBandSize w:val="1"/>
      <w:tblCellMar>
        <w:left w:w="108.0" w:type="dxa"/>
        <w:right w:w="108.0" w:type="dxa"/>
      </w:tblCellMar>
    </w:tblPr>
  </w:style>
  <w:style w:type="table" w:styleId="aff5" w:customStyle="1">
    <w:basedOn w:val="TableNormalc"/>
    <w:tblPr>
      <w:tblStyleRowBandSize w:val="1"/>
      <w:tblStyleColBandSize w:val="1"/>
      <w:tblCellMar>
        <w:left w:w="108.0" w:type="dxa"/>
        <w:right w:w="108.0" w:type="dxa"/>
      </w:tblCellMar>
    </w:tblPr>
  </w:style>
  <w:style w:type="table" w:styleId="aff6" w:customStyle="1">
    <w:basedOn w:val="TableNormalc"/>
    <w:tblPr>
      <w:tblStyleRowBandSize w:val="1"/>
      <w:tblStyleColBandSize w:val="1"/>
      <w:tblCellMar>
        <w:left w:w="108.0" w:type="dxa"/>
        <w:right w:w="108.0" w:type="dxa"/>
      </w:tblCellMar>
    </w:tblPr>
  </w:style>
  <w:style w:type="table" w:styleId="aff7" w:customStyle="1">
    <w:basedOn w:val="TableNormalc"/>
    <w:tblPr>
      <w:tblStyleRowBandSize w:val="1"/>
      <w:tblStyleColBandSize w:val="1"/>
      <w:tblCellMar>
        <w:left w:w="108.0" w:type="dxa"/>
        <w:right w:w="108.0" w:type="dxa"/>
      </w:tblCellMar>
    </w:tblPr>
  </w:style>
  <w:style w:type="table" w:styleId="aff8" w:customStyle="1">
    <w:basedOn w:val="TableNormalc"/>
    <w:tblPr>
      <w:tblStyleRowBandSize w:val="1"/>
      <w:tblStyleColBandSize w:val="1"/>
      <w:tblCellMar>
        <w:left w:w="108.0" w:type="dxa"/>
        <w:right w:w="108.0" w:type="dxa"/>
      </w:tblCellMar>
    </w:tblPr>
  </w:style>
  <w:style w:type="table" w:styleId="aff9" w:customStyle="1">
    <w:basedOn w:val="TableNormalc"/>
    <w:tblPr>
      <w:tblStyleRowBandSize w:val="1"/>
      <w:tblStyleColBandSize w:val="1"/>
      <w:tblCellMar>
        <w:left w:w="108.0" w:type="dxa"/>
        <w:right w:w="108.0" w:type="dxa"/>
      </w:tblCellMar>
    </w:tblPr>
  </w:style>
  <w:style w:type="table" w:styleId="affa" w:customStyle="1">
    <w:basedOn w:val="TableNormalc"/>
    <w:tblPr>
      <w:tblStyleRowBandSize w:val="1"/>
      <w:tblStyleColBandSize w:val="1"/>
      <w:tblCellMar>
        <w:left w:w="108.0" w:type="dxa"/>
        <w:right w:w="108.0" w:type="dxa"/>
      </w:tblCellMar>
    </w:tblPr>
  </w:style>
  <w:style w:type="table" w:styleId="affb" w:customStyle="1">
    <w:basedOn w:val="TableNormalc"/>
    <w:tblPr>
      <w:tblStyleRowBandSize w:val="1"/>
      <w:tblStyleColBandSize w:val="1"/>
      <w:tblCellMar>
        <w:left w:w="108.0" w:type="dxa"/>
        <w:right w:w="108.0" w:type="dxa"/>
      </w:tblCellMar>
    </w:tblPr>
  </w:style>
  <w:style w:type="table" w:styleId="affc" w:customStyle="1">
    <w:basedOn w:val="TableNormalc"/>
    <w:tblPr>
      <w:tblStyleRowBandSize w:val="1"/>
      <w:tblStyleColBandSize w:val="1"/>
      <w:tblCellMar>
        <w:left w:w="108.0" w:type="dxa"/>
        <w:right w:w="108.0" w:type="dxa"/>
      </w:tblCellMar>
    </w:tblPr>
  </w:style>
  <w:style w:type="table" w:styleId="affd" w:customStyle="1">
    <w:basedOn w:val="TableNormalc"/>
    <w:tblPr>
      <w:tblStyleRowBandSize w:val="1"/>
      <w:tblStyleColBandSize w:val="1"/>
      <w:tblCellMar>
        <w:left w:w="108.0" w:type="dxa"/>
        <w:right w:w="108.0" w:type="dxa"/>
      </w:tblCellMar>
    </w:tblPr>
  </w:style>
  <w:style w:type="table" w:styleId="affe" w:customStyle="1">
    <w:basedOn w:val="TableNormalc"/>
    <w:tblPr>
      <w:tblStyleRowBandSize w:val="1"/>
      <w:tblStyleColBandSize w:val="1"/>
      <w:tblCellMar>
        <w:left w:w="108.0" w:type="dxa"/>
        <w:right w:w="108.0" w:type="dxa"/>
      </w:tblCellMar>
    </w:tblPr>
  </w:style>
  <w:style w:type="table" w:styleId="afff" w:customStyle="1">
    <w:basedOn w:val="TableNormalc"/>
    <w:tblPr>
      <w:tblStyleRowBandSize w:val="1"/>
      <w:tblStyleColBandSize w:val="1"/>
      <w:tblCellMar>
        <w:left w:w="108.0" w:type="dxa"/>
        <w:right w:w="108.0" w:type="dxa"/>
      </w:tblCellMar>
    </w:tblPr>
  </w:style>
  <w:style w:type="table" w:styleId="afff0" w:customStyle="1">
    <w:basedOn w:val="TableNormalc"/>
    <w:tblPr>
      <w:tblStyleRowBandSize w:val="1"/>
      <w:tblStyleColBandSize w:val="1"/>
      <w:tblCellMar>
        <w:left w:w="108.0" w:type="dxa"/>
        <w:right w:w="108.0" w:type="dxa"/>
      </w:tblCellMar>
    </w:tblPr>
  </w:style>
  <w:style w:type="table" w:styleId="afff1" w:customStyle="1">
    <w:basedOn w:val="TableNormalc"/>
    <w:tblPr>
      <w:tblStyleRowBandSize w:val="1"/>
      <w:tblStyleColBandSize w:val="1"/>
      <w:tblCellMar>
        <w:left w:w="108.0" w:type="dxa"/>
        <w:right w:w="108.0" w:type="dxa"/>
      </w:tblCellMar>
    </w:tblPr>
  </w:style>
  <w:style w:type="table" w:styleId="afff2" w:customStyle="1">
    <w:basedOn w:val="TableNormalc"/>
    <w:tblPr>
      <w:tblStyleRowBandSize w:val="1"/>
      <w:tblStyleColBandSize w:val="1"/>
      <w:tblCellMar>
        <w:left w:w="108.0" w:type="dxa"/>
        <w:right w:w="108.0" w:type="dxa"/>
      </w:tblCellMar>
    </w:tblPr>
  </w:style>
  <w:style w:type="table" w:styleId="afff3" w:customStyle="1">
    <w:basedOn w:val="TableNormalc"/>
    <w:tblPr>
      <w:tblStyleRowBandSize w:val="1"/>
      <w:tblStyleColBandSize w:val="1"/>
      <w:tblCellMar>
        <w:left w:w="108.0" w:type="dxa"/>
        <w:right w:w="108.0" w:type="dxa"/>
      </w:tblCellMar>
    </w:tblPr>
  </w:style>
  <w:style w:type="table" w:styleId="afff4" w:customStyle="1">
    <w:basedOn w:val="TableNormalc"/>
    <w:tblPr>
      <w:tblStyleRowBandSize w:val="1"/>
      <w:tblStyleColBandSize w:val="1"/>
      <w:tblCellMar>
        <w:left w:w="108.0" w:type="dxa"/>
        <w:right w:w="108.0" w:type="dxa"/>
      </w:tblCellMar>
    </w:tblPr>
  </w:style>
  <w:style w:type="table" w:styleId="afff5" w:customStyle="1">
    <w:basedOn w:val="TableNormalc"/>
    <w:tblPr>
      <w:tblStyleRowBandSize w:val="1"/>
      <w:tblStyleColBandSize w:val="1"/>
      <w:tblCellMar>
        <w:left w:w="108.0" w:type="dxa"/>
        <w:right w:w="108.0" w:type="dxa"/>
      </w:tblCellMar>
    </w:tblPr>
  </w:style>
  <w:style w:type="table" w:styleId="afff6" w:customStyle="1">
    <w:basedOn w:val="TableNormalc"/>
    <w:tblPr>
      <w:tblStyleRowBandSize w:val="1"/>
      <w:tblStyleColBandSize w:val="1"/>
      <w:tblCellMar>
        <w:left w:w="108.0" w:type="dxa"/>
        <w:right w:w="108.0" w:type="dxa"/>
      </w:tblCellMar>
    </w:tblPr>
  </w:style>
  <w:style w:type="table" w:styleId="afff7" w:customStyle="1">
    <w:basedOn w:val="TableNormalc"/>
    <w:tblPr>
      <w:tblStyleRowBandSize w:val="1"/>
      <w:tblStyleColBandSize w:val="1"/>
      <w:tblCellMar>
        <w:left w:w="108.0" w:type="dxa"/>
        <w:right w:w="108.0" w:type="dxa"/>
      </w:tblCellMar>
    </w:tblPr>
  </w:style>
  <w:style w:type="table" w:styleId="afff8" w:customStyle="1">
    <w:basedOn w:val="TableNormalc"/>
    <w:tblPr>
      <w:tblStyleRowBandSize w:val="1"/>
      <w:tblStyleColBandSize w:val="1"/>
      <w:tblCellMar>
        <w:left w:w="108.0" w:type="dxa"/>
        <w:right w:w="108.0" w:type="dxa"/>
      </w:tblCellMar>
    </w:tblPr>
  </w:style>
  <w:style w:type="table" w:styleId="afff9" w:customStyle="1">
    <w:basedOn w:val="TableNormalc"/>
    <w:tblPr>
      <w:tblStyleRowBandSize w:val="1"/>
      <w:tblStyleColBandSize w:val="1"/>
      <w:tblCellMar>
        <w:left w:w="108.0" w:type="dxa"/>
        <w:right w:w="108.0" w:type="dxa"/>
      </w:tblCellMar>
    </w:tblPr>
  </w:style>
  <w:style w:type="table" w:styleId="afffa" w:customStyle="1">
    <w:basedOn w:val="TableNormalc"/>
    <w:tblPr>
      <w:tblStyleRowBandSize w:val="1"/>
      <w:tblStyleColBandSize w:val="1"/>
      <w:tblCellMar>
        <w:left w:w="108.0" w:type="dxa"/>
        <w:right w:w="108.0" w:type="dxa"/>
      </w:tblCellMar>
    </w:tblPr>
  </w:style>
  <w:style w:type="table" w:styleId="afffb" w:customStyle="1">
    <w:basedOn w:val="TableNormalc"/>
    <w:tblPr>
      <w:tblStyleRowBandSize w:val="1"/>
      <w:tblStyleColBandSize w:val="1"/>
      <w:tblCellMar>
        <w:left w:w="108.0" w:type="dxa"/>
        <w:right w:w="108.0" w:type="dxa"/>
      </w:tblCellMar>
    </w:tblPr>
  </w:style>
  <w:style w:type="table" w:styleId="afffc" w:customStyle="1">
    <w:basedOn w:val="TableNormalc"/>
    <w:tblPr>
      <w:tblStyleRowBandSize w:val="1"/>
      <w:tblStyleColBandSize w:val="1"/>
      <w:tblCellMar>
        <w:left w:w="108.0" w:type="dxa"/>
        <w:right w:w="108.0" w:type="dxa"/>
      </w:tblCellMar>
    </w:tblPr>
  </w:style>
  <w:style w:type="table" w:styleId="afffd" w:customStyle="1">
    <w:basedOn w:val="TableNormalc"/>
    <w:tblPr>
      <w:tblStyleRowBandSize w:val="1"/>
      <w:tblStyleColBandSize w:val="1"/>
      <w:tblCellMar>
        <w:left w:w="108.0" w:type="dxa"/>
        <w:right w:w="108.0" w:type="dxa"/>
      </w:tblCellMar>
    </w:tblPr>
  </w:style>
  <w:style w:type="table" w:styleId="afffe" w:customStyle="1">
    <w:basedOn w:val="TableNormalc"/>
    <w:tblPr>
      <w:tblStyleRowBandSize w:val="1"/>
      <w:tblStyleColBandSize w:val="1"/>
      <w:tblCellMar>
        <w:left w:w="108.0" w:type="dxa"/>
        <w:right w:w="108.0" w:type="dxa"/>
      </w:tblCellMar>
    </w:tblPr>
  </w:style>
  <w:style w:type="table" w:styleId="affff" w:customStyle="1">
    <w:basedOn w:val="TableNormalc"/>
    <w:tblPr>
      <w:tblStyleRowBandSize w:val="1"/>
      <w:tblStyleColBandSize w:val="1"/>
      <w:tblCellMar>
        <w:left w:w="108.0" w:type="dxa"/>
        <w:right w:w="108.0" w:type="dxa"/>
      </w:tblCellMar>
    </w:tblPr>
  </w:style>
  <w:style w:type="table" w:styleId="affff0" w:customStyle="1">
    <w:basedOn w:val="TableNormalc"/>
    <w:tblPr>
      <w:tblStyleRowBandSize w:val="1"/>
      <w:tblStyleColBandSize w:val="1"/>
      <w:tblCellMar>
        <w:left w:w="108.0" w:type="dxa"/>
        <w:right w:w="108.0" w:type="dxa"/>
      </w:tblCellMar>
    </w:tblPr>
  </w:style>
  <w:style w:type="table" w:styleId="affff1" w:customStyle="1">
    <w:basedOn w:val="TableNormalc"/>
    <w:tblPr>
      <w:tblStyleRowBandSize w:val="1"/>
      <w:tblStyleColBandSize w:val="1"/>
      <w:tblCellMar>
        <w:left w:w="108.0" w:type="dxa"/>
        <w:right w:w="108.0" w:type="dxa"/>
      </w:tblCellMar>
    </w:tblPr>
  </w:style>
  <w:style w:type="table" w:styleId="affff2" w:customStyle="1">
    <w:basedOn w:val="TableNormalc"/>
    <w:tblPr>
      <w:tblStyleRowBandSize w:val="1"/>
      <w:tblStyleColBandSize w:val="1"/>
      <w:tblCellMar>
        <w:left w:w="108.0" w:type="dxa"/>
        <w:right w:w="108.0" w:type="dxa"/>
      </w:tblCellMar>
    </w:tblPr>
  </w:style>
  <w:style w:type="table" w:styleId="affff3" w:customStyle="1">
    <w:basedOn w:val="TableNormalc"/>
    <w:tblPr>
      <w:tblStyleRowBandSize w:val="1"/>
      <w:tblStyleColBandSize w:val="1"/>
      <w:tblCellMar>
        <w:left w:w="108.0" w:type="dxa"/>
        <w:right w:w="108.0" w:type="dxa"/>
      </w:tblCellMar>
    </w:tblPr>
  </w:style>
  <w:style w:type="table" w:styleId="affff4" w:customStyle="1">
    <w:basedOn w:val="TableNormalc"/>
    <w:tblPr>
      <w:tblStyleRowBandSize w:val="1"/>
      <w:tblStyleColBandSize w:val="1"/>
      <w:tblCellMar>
        <w:left w:w="108.0" w:type="dxa"/>
        <w:right w:w="108.0" w:type="dxa"/>
      </w:tblCellMar>
    </w:tblPr>
  </w:style>
  <w:style w:type="table" w:styleId="affff5" w:customStyle="1">
    <w:basedOn w:val="TableNormalc"/>
    <w:tblPr>
      <w:tblStyleRowBandSize w:val="1"/>
      <w:tblStyleColBandSize w:val="1"/>
      <w:tblCellMar>
        <w:left w:w="108.0" w:type="dxa"/>
        <w:right w:w="108.0" w:type="dxa"/>
      </w:tblCellMar>
    </w:tblPr>
  </w:style>
  <w:style w:type="table" w:styleId="affff6" w:customStyle="1">
    <w:basedOn w:val="TableNormalc"/>
    <w:tblPr>
      <w:tblStyleRowBandSize w:val="1"/>
      <w:tblStyleColBandSize w:val="1"/>
      <w:tblCellMar>
        <w:left w:w="108.0" w:type="dxa"/>
        <w:right w:w="108.0" w:type="dxa"/>
      </w:tblCellMar>
    </w:tblPr>
  </w:style>
  <w:style w:type="table" w:styleId="affff7" w:customStyle="1">
    <w:basedOn w:val="TableNormalc"/>
    <w:tblPr>
      <w:tblStyleRowBandSize w:val="1"/>
      <w:tblStyleColBandSize w:val="1"/>
      <w:tblCellMar>
        <w:left w:w="108.0" w:type="dxa"/>
        <w:right w:w="108.0" w:type="dxa"/>
      </w:tblCellMar>
    </w:tblPr>
  </w:style>
  <w:style w:type="table" w:styleId="affff8" w:customStyle="1">
    <w:basedOn w:val="TableNormalc"/>
    <w:tblPr>
      <w:tblStyleRowBandSize w:val="1"/>
      <w:tblStyleColBandSize w:val="1"/>
      <w:tblCellMar>
        <w:left w:w="108.0" w:type="dxa"/>
        <w:right w:w="108.0" w:type="dxa"/>
      </w:tblCellMar>
    </w:tblPr>
  </w:style>
  <w:style w:type="table" w:styleId="affff9" w:customStyle="1">
    <w:basedOn w:val="TableNormalc"/>
    <w:tblPr>
      <w:tblStyleRowBandSize w:val="1"/>
      <w:tblStyleColBandSize w:val="1"/>
      <w:tblCellMar>
        <w:left w:w="108.0" w:type="dxa"/>
        <w:right w:w="108.0" w:type="dxa"/>
      </w:tblCellMar>
    </w:tblPr>
  </w:style>
  <w:style w:type="table" w:styleId="affffa" w:customStyle="1">
    <w:basedOn w:val="TableNormalc"/>
    <w:tblPr>
      <w:tblStyleRowBandSize w:val="1"/>
      <w:tblStyleColBandSize w:val="1"/>
      <w:tblCellMar>
        <w:left w:w="108.0" w:type="dxa"/>
        <w:right w:w="108.0" w:type="dxa"/>
      </w:tblCellMar>
    </w:tblPr>
  </w:style>
  <w:style w:type="table" w:styleId="affffb" w:customStyle="1">
    <w:basedOn w:val="TableNormalc"/>
    <w:tblPr>
      <w:tblStyleRowBandSize w:val="1"/>
      <w:tblStyleColBandSize w:val="1"/>
      <w:tblCellMar>
        <w:left w:w="108.0" w:type="dxa"/>
        <w:right w:w="108.0" w:type="dxa"/>
      </w:tblCellMar>
    </w:tblPr>
  </w:style>
  <w:style w:type="table" w:styleId="affffc" w:customStyle="1">
    <w:basedOn w:val="TableNormalc"/>
    <w:tblPr>
      <w:tblStyleRowBandSize w:val="1"/>
      <w:tblStyleColBandSize w:val="1"/>
      <w:tblCellMar>
        <w:left w:w="108.0" w:type="dxa"/>
        <w:right w:w="108.0" w:type="dxa"/>
      </w:tblCellMar>
    </w:tblPr>
  </w:style>
  <w:style w:type="table" w:styleId="affffd" w:customStyle="1">
    <w:basedOn w:val="TableNormalc"/>
    <w:tblPr>
      <w:tblStyleRowBandSize w:val="1"/>
      <w:tblStyleColBandSize w:val="1"/>
      <w:tblCellMar>
        <w:left w:w="108.0" w:type="dxa"/>
        <w:right w:w="108.0" w:type="dxa"/>
      </w:tblCellMar>
    </w:tblPr>
  </w:style>
  <w:style w:type="table" w:styleId="affffe" w:customStyle="1">
    <w:basedOn w:val="TableNormalc"/>
    <w:tblPr>
      <w:tblStyleRowBandSize w:val="1"/>
      <w:tblStyleColBandSize w:val="1"/>
      <w:tblCellMar>
        <w:left w:w="108.0" w:type="dxa"/>
        <w:right w:w="108.0" w:type="dxa"/>
      </w:tblCellMar>
    </w:tblPr>
  </w:style>
  <w:style w:type="table" w:styleId="afffff" w:customStyle="1">
    <w:basedOn w:val="TableNormalc"/>
    <w:tblPr>
      <w:tblStyleRowBandSize w:val="1"/>
      <w:tblStyleColBandSize w:val="1"/>
      <w:tblCellMar>
        <w:left w:w="108.0" w:type="dxa"/>
        <w:right w:w="108.0" w:type="dxa"/>
      </w:tblCellMar>
    </w:tblPr>
  </w:style>
  <w:style w:type="table" w:styleId="afffff0" w:customStyle="1">
    <w:basedOn w:val="TableNormalc"/>
    <w:tblPr>
      <w:tblStyleRowBandSize w:val="1"/>
      <w:tblStyleColBandSize w:val="1"/>
      <w:tblCellMar>
        <w:left w:w="108.0" w:type="dxa"/>
        <w:right w:w="108.0" w:type="dxa"/>
      </w:tblCellMar>
    </w:tblPr>
  </w:style>
  <w:style w:type="table" w:styleId="afffff1" w:customStyle="1">
    <w:basedOn w:val="TableNormalc"/>
    <w:tblPr>
      <w:tblStyleRowBandSize w:val="1"/>
      <w:tblStyleColBandSize w:val="1"/>
      <w:tblCellMar>
        <w:left w:w="108.0" w:type="dxa"/>
        <w:right w:w="108.0" w:type="dxa"/>
      </w:tblCellMar>
    </w:tblPr>
  </w:style>
  <w:style w:type="table" w:styleId="afffff2" w:customStyle="1">
    <w:basedOn w:val="TableNormalc"/>
    <w:tblPr>
      <w:tblStyleRowBandSize w:val="1"/>
      <w:tblStyleColBandSize w:val="1"/>
      <w:tblCellMar>
        <w:left w:w="108.0" w:type="dxa"/>
        <w:right w:w="108.0" w:type="dxa"/>
      </w:tblCellMar>
    </w:tblPr>
  </w:style>
  <w:style w:type="table" w:styleId="afffff3" w:customStyle="1">
    <w:basedOn w:val="TableNormalc"/>
    <w:tblPr>
      <w:tblStyleRowBandSize w:val="1"/>
      <w:tblStyleColBandSize w:val="1"/>
      <w:tblCellMar>
        <w:left w:w="108.0" w:type="dxa"/>
        <w:right w:w="108.0" w:type="dxa"/>
      </w:tblCellMar>
    </w:tblPr>
  </w:style>
  <w:style w:type="table" w:styleId="afffff4" w:customStyle="1">
    <w:basedOn w:val="TableNormalc"/>
    <w:tblPr>
      <w:tblStyleRowBandSize w:val="1"/>
      <w:tblStyleColBandSize w:val="1"/>
      <w:tblCellMar>
        <w:left w:w="108.0" w:type="dxa"/>
        <w:right w:w="108.0" w:type="dxa"/>
      </w:tblCellMar>
    </w:tblPr>
  </w:style>
  <w:style w:type="table" w:styleId="afffff5" w:customStyle="1">
    <w:basedOn w:val="TableNormalc"/>
    <w:tblPr>
      <w:tblStyleRowBandSize w:val="1"/>
      <w:tblStyleColBandSize w:val="1"/>
      <w:tblCellMar>
        <w:left w:w="108.0" w:type="dxa"/>
        <w:right w:w="108.0" w:type="dxa"/>
      </w:tblCellMar>
    </w:tblPr>
  </w:style>
  <w:style w:type="table" w:styleId="afffff6" w:customStyle="1">
    <w:basedOn w:val="TableNormalc"/>
    <w:tblPr>
      <w:tblStyleRowBandSize w:val="1"/>
      <w:tblStyleColBandSize w:val="1"/>
      <w:tblCellMar>
        <w:left w:w="108.0" w:type="dxa"/>
        <w:right w:w="108.0" w:type="dxa"/>
      </w:tblCellMar>
    </w:tblPr>
  </w:style>
  <w:style w:type="table" w:styleId="afffff7" w:customStyle="1">
    <w:basedOn w:val="TableNormalc"/>
    <w:tblPr>
      <w:tblStyleRowBandSize w:val="1"/>
      <w:tblStyleColBandSize w:val="1"/>
      <w:tblCellMar>
        <w:left w:w="108.0" w:type="dxa"/>
        <w:right w:w="108.0" w:type="dxa"/>
      </w:tblCellMar>
    </w:tblPr>
  </w:style>
  <w:style w:type="table" w:styleId="afffff8" w:customStyle="1">
    <w:basedOn w:val="TableNormalc"/>
    <w:tblPr>
      <w:tblStyleRowBandSize w:val="1"/>
      <w:tblStyleColBandSize w:val="1"/>
      <w:tblCellMar>
        <w:left w:w="108.0" w:type="dxa"/>
        <w:right w:w="108.0" w:type="dxa"/>
      </w:tblCellMar>
    </w:tblPr>
  </w:style>
  <w:style w:type="table" w:styleId="afffff9" w:customStyle="1">
    <w:basedOn w:val="TableNormalc"/>
    <w:tblPr>
      <w:tblStyleRowBandSize w:val="1"/>
      <w:tblStyleColBandSize w:val="1"/>
      <w:tblCellMar>
        <w:left w:w="108.0" w:type="dxa"/>
        <w:right w:w="108.0" w:type="dxa"/>
      </w:tblCellMar>
    </w:tblPr>
  </w:style>
  <w:style w:type="table" w:styleId="afffffa" w:customStyle="1">
    <w:basedOn w:val="TableNormalc"/>
    <w:tblPr>
      <w:tblStyleRowBandSize w:val="1"/>
      <w:tblStyleColBandSize w:val="1"/>
      <w:tblCellMar>
        <w:left w:w="108.0" w:type="dxa"/>
        <w:right w:w="108.0" w:type="dxa"/>
      </w:tblCellMar>
    </w:tblPr>
  </w:style>
  <w:style w:type="table" w:styleId="afffffb" w:customStyle="1">
    <w:basedOn w:val="TableNormalc"/>
    <w:tblPr>
      <w:tblStyleRowBandSize w:val="1"/>
      <w:tblStyleColBandSize w:val="1"/>
      <w:tblCellMar>
        <w:left w:w="108.0" w:type="dxa"/>
        <w:right w:w="108.0" w:type="dxa"/>
      </w:tblCellMar>
    </w:tblPr>
  </w:style>
  <w:style w:type="table" w:styleId="afffffc" w:customStyle="1">
    <w:basedOn w:val="TableNormalc"/>
    <w:tblPr>
      <w:tblStyleRowBandSize w:val="1"/>
      <w:tblStyleColBandSize w:val="1"/>
      <w:tblCellMar>
        <w:left w:w="108.0" w:type="dxa"/>
        <w:right w:w="108.0" w:type="dxa"/>
      </w:tblCellMar>
    </w:tblPr>
  </w:style>
  <w:style w:type="table" w:styleId="afffffd" w:customStyle="1">
    <w:basedOn w:val="TableNormalc"/>
    <w:tblPr>
      <w:tblStyleRowBandSize w:val="1"/>
      <w:tblStyleColBandSize w:val="1"/>
      <w:tblCellMar>
        <w:left w:w="108.0" w:type="dxa"/>
        <w:right w:w="108.0" w:type="dxa"/>
      </w:tblCellMar>
    </w:tblPr>
  </w:style>
  <w:style w:type="table" w:styleId="afffffe" w:customStyle="1">
    <w:basedOn w:val="TableNormalc"/>
    <w:tblPr>
      <w:tblStyleRowBandSize w:val="1"/>
      <w:tblStyleColBandSize w:val="1"/>
      <w:tblCellMar>
        <w:left w:w="108.0" w:type="dxa"/>
        <w:right w:w="108.0" w:type="dxa"/>
      </w:tblCellMar>
    </w:tblPr>
  </w:style>
  <w:style w:type="table" w:styleId="affffff" w:customStyle="1">
    <w:basedOn w:val="TableNormalc"/>
    <w:tblPr>
      <w:tblStyleRowBandSize w:val="1"/>
      <w:tblStyleColBandSize w:val="1"/>
      <w:tblCellMar>
        <w:left w:w="108.0" w:type="dxa"/>
        <w:right w:w="108.0" w:type="dxa"/>
      </w:tblCellMar>
    </w:tblPr>
  </w:style>
  <w:style w:type="table" w:styleId="affffff0" w:customStyle="1">
    <w:basedOn w:val="TableNormalc"/>
    <w:tblPr>
      <w:tblStyleRowBandSize w:val="1"/>
      <w:tblStyleColBandSize w:val="1"/>
      <w:tblCellMar>
        <w:left w:w="108.0" w:type="dxa"/>
        <w:right w:w="108.0" w:type="dxa"/>
      </w:tblCellMar>
    </w:tblPr>
  </w:style>
  <w:style w:type="table" w:styleId="affffff1" w:customStyle="1">
    <w:basedOn w:val="TableNormalc"/>
    <w:tblPr>
      <w:tblStyleRowBandSize w:val="1"/>
      <w:tblStyleColBandSize w:val="1"/>
      <w:tblCellMar>
        <w:left w:w="108.0" w:type="dxa"/>
        <w:right w:w="108.0" w:type="dxa"/>
      </w:tblCellMar>
    </w:tblPr>
  </w:style>
  <w:style w:type="table" w:styleId="affffff2" w:customStyle="1">
    <w:basedOn w:val="TableNormalc"/>
    <w:tblPr>
      <w:tblStyleRowBandSize w:val="1"/>
      <w:tblStyleColBandSize w:val="1"/>
      <w:tblCellMar>
        <w:left w:w="108.0" w:type="dxa"/>
        <w:right w:w="108.0" w:type="dxa"/>
      </w:tblCellMar>
    </w:tblPr>
  </w:style>
  <w:style w:type="table" w:styleId="affffff3" w:customStyle="1">
    <w:basedOn w:val="TableNormalc"/>
    <w:tblPr>
      <w:tblStyleRowBandSize w:val="1"/>
      <w:tblStyleColBandSize w:val="1"/>
      <w:tblCellMar>
        <w:left w:w="108.0" w:type="dxa"/>
        <w:right w:w="108.0" w:type="dxa"/>
      </w:tblCellMar>
    </w:tblPr>
  </w:style>
  <w:style w:type="table" w:styleId="affffff4" w:customStyle="1">
    <w:basedOn w:val="TableNormalc"/>
    <w:tblPr>
      <w:tblStyleRowBandSize w:val="1"/>
      <w:tblStyleColBandSize w:val="1"/>
      <w:tblCellMar>
        <w:left w:w="108.0" w:type="dxa"/>
        <w:right w:w="108.0" w:type="dxa"/>
      </w:tblCellMar>
    </w:tblPr>
  </w:style>
  <w:style w:type="table" w:styleId="affffff5" w:customStyle="1">
    <w:basedOn w:val="TableNormalc"/>
    <w:tblPr>
      <w:tblStyleRowBandSize w:val="1"/>
      <w:tblStyleColBandSize w:val="1"/>
      <w:tblCellMar>
        <w:left w:w="108.0" w:type="dxa"/>
        <w:right w:w="108.0" w:type="dxa"/>
      </w:tblCellMar>
    </w:tblPr>
  </w:style>
  <w:style w:type="table" w:styleId="affffff6" w:customStyle="1">
    <w:basedOn w:val="TableNormalc"/>
    <w:tblPr>
      <w:tblStyleRowBandSize w:val="1"/>
      <w:tblStyleColBandSize w:val="1"/>
      <w:tblCellMar>
        <w:left w:w="108.0" w:type="dxa"/>
        <w:right w:w="108.0" w:type="dxa"/>
      </w:tblCellMar>
    </w:tblPr>
  </w:style>
  <w:style w:type="table" w:styleId="affffff7" w:customStyle="1">
    <w:basedOn w:val="TableNormalc"/>
    <w:tblPr>
      <w:tblStyleRowBandSize w:val="1"/>
      <w:tblStyleColBandSize w:val="1"/>
      <w:tblCellMar>
        <w:left w:w="108.0" w:type="dxa"/>
        <w:right w:w="108.0" w:type="dxa"/>
      </w:tblCellMar>
    </w:tblPr>
  </w:style>
  <w:style w:type="table" w:styleId="affffff8" w:customStyle="1">
    <w:basedOn w:val="TableNormalc"/>
    <w:tblPr>
      <w:tblStyleRowBandSize w:val="1"/>
      <w:tblStyleColBandSize w:val="1"/>
      <w:tblCellMar>
        <w:left w:w="108.0" w:type="dxa"/>
        <w:right w:w="108.0" w:type="dxa"/>
      </w:tblCellMar>
    </w:tblPr>
  </w:style>
  <w:style w:type="table" w:styleId="affffff9" w:customStyle="1">
    <w:basedOn w:val="TableNormalc"/>
    <w:tblPr>
      <w:tblStyleRowBandSize w:val="1"/>
      <w:tblStyleColBandSize w:val="1"/>
      <w:tblCellMar>
        <w:left w:w="108.0" w:type="dxa"/>
        <w:right w:w="108.0" w:type="dxa"/>
      </w:tblCellMar>
    </w:tblPr>
  </w:style>
  <w:style w:type="table" w:styleId="affffffa" w:customStyle="1">
    <w:basedOn w:val="TableNormalc"/>
    <w:tblPr>
      <w:tblStyleRowBandSize w:val="1"/>
      <w:tblStyleColBandSize w:val="1"/>
      <w:tblCellMar>
        <w:left w:w="108.0" w:type="dxa"/>
        <w:right w:w="108.0" w:type="dxa"/>
      </w:tblCellMar>
    </w:tblPr>
  </w:style>
  <w:style w:type="table" w:styleId="affffffb" w:customStyle="1">
    <w:basedOn w:val="TableNormalc"/>
    <w:tblPr>
      <w:tblStyleRowBandSize w:val="1"/>
      <w:tblStyleColBandSize w:val="1"/>
      <w:tblCellMar>
        <w:left w:w="108.0" w:type="dxa"/>
        <w:right w:w="108.0" w:type="dxa"/>
      </w:tblCellMar>
    </w:tblPr>
  </w:style>
  <w:style w:type="table" w:styleId="affffffc" w:customStyle="1">
    <w:basedOn w:val="TableNormalc"/>
    <w:tblPr>
      <w:tblStyleRowBandSize w:val="1"/>
      <w:tblStyleColBandSize w:val="1"/>
      <w:tblCellMar>
        <w:left w:w="108.0" w:type="dxa"/>
        <w:right w:w="108.0" w:type="dxa"/>
      </w:tblCellMar>
    </w:tblPr>
  </w:style>
  <w:style w:type="table" w:styleId="affffffd" w:customStyle="1">
    <w:basedOn w:val="TableNormalc"/>
    <w:tblPr>
      <w:tblStyleRowBandSize w:val="1"/>
      <w:tblStyleColBandSize w:val="1"/>
      <w:tblCellMar>
        <w:left w:w="108.0" w:type="dxa"/>
        <w:right w:w="108.0" w:type="dxa"/>
      </w:tblCellMar>
    </w:tblPr>
  </w:style>
  <w:style w:type="table" w:styleId="affffffe" w:customStyle="1">
    <w:basedOn w:val="TableNormalc"/>
    <w:tblPr>
      <w:tblStyleRowBandSize w:val="1"/>
      <w:tblStyleColBandSize w:val="1"/>
      <w:tblCellMar>
        <w:left w:w="108.0" w:type="dxa"/>
        <w:right w:w="108.0" w:type="dxa"/>
      </w:tblCellMar>
    </w:tblPr>
  </w:style>
  <w:style w:type="table" w:styleId="afffffff" w:customStyle="1">
    <w:basedOn w:val="TableNormalc"/>
    <w:tblPr>
      <w:tblStyleRowBandSize w:val="1"/>
      <w:tblStyleColBandSize w:val="1"/>
      <w:tblCellMar>
        <w:left w:w="108.0" w:type="dxa"/>
        <w:right w:w="108.0" w:type="dxa"/>
      </w:tblCellMar>
    </w:tblPr>
  </w:style>
  <w:style w:type="table" w:styleId="afffffff0" w:customStyle="1">
    <w:basedOn w:val="TableNormalc"/>
    <w:tblPr>
      <w:tblStyleRowBandSize w:val="1"/>
      <w:tblStyleColBandSize w:val="1"/>
      <w:tblCellMar>
        <w:left w:w="108.0" w:type="dxa"/>
        <w:right w:w="108.0" w:type="dxa"/>
      </w:tblCellMar>
    </w:tblPr>
  </w:style>
  <w:style w:type="table" w:styleId="afffffff1" w:customStyle="1">
    <w:basedOn w:val="TableNormalc"/>
    <w:tblPr>
      <w:tblStyleRowBandSize w:val="1"/>
      <w:tblStyleColBandSize w:val="1"/>
      <w:tblCellMar>
        <w:left w:w="108.0" w:type="dxa"/>
        <w:right w:w="108.0" w:type="dxa"/>
      </w:tblCellMar>
    </w:tblPr>
  </w:style>
  <w:style w:type="table" w:styleId="afffffff2" w:customStyle="1">
    <w:basedOn w:val="TableNormalc"/>
    <w:tblPr>
      <w:tblStyleRowBandSize w:val="1"/>
      <w:tblStyleColBandSize w:val="1"/>
      <w:tblCellMar>
        <w:left w:w="108.0" w:type="dxa"/>
        <w:right w:w="108.0" w:type="dxa"/>
      </w:tblCellMar>
    </w:tblPr>
  </w:style>
  <w:style w:type="table" w:styleId="afffffff3" w:customStyle="1">
    <w:basedOn w:val="TableNormalc"/>
    <w:tblPr>
      <w:tblStyleRowBandSize w:val="1"/>
      <w:tblStyleColBandSize w:val="1"/>
      <w:tblCellMar>
        <w:left w:w="108.0" w:type="dxa"/>
        <w:right w:w="108.0" w:type="dxa"/>
      </w:tblCellMar>
    </w:tblPr>
  </w:style>
  <w:style w:type="table" w:styleId="afffffff4" w:customStyle="1">
    <w:basedOn w:val="TableNormalc"/>
    <w:tblPr>
      <w:tblStyleRowBandSize w:val="1"/>
      <w:tblStyleColBandSize w:val="1"/>
      <w:tblCellMar>
        <w:left w:w="108.0" w:type="dxa"/>
        <w:right w:w="108.0" w:type="dxa"/>
      </w:tblCellMar>
    </w:tblPr>
  </w:style>
  <w:style w:type="table" w:styleId="afffffff5" w:customStyle="1">
    <w:basedOn w:val="TableNormalc"/>
    <w:tblPr>
      <w:tblStyleRowBandSize w:val="1"/>
      <w:tblStyleColBandSize w:val="1"/>
      <w:tblCellMar>
        <w:left w:w="108.0" w:type="dxa"/>
        <w:right w:w="108.0" w:type="dxa"/>
      </w:tblCellMar>
    </w:tblPr>
  </w:style>
  <w:style w:type="table" w:styleId="afffffff6" w:customStyle="1">
    <w:basedOn w:val="TableNormalc"/>
    <w:tblPr>
      <w:tblStyleRowBandSize w:val="1"/>
      <w:tblStyleColBandSize w:val="1"/>
      <w:tblCellMar>
        <w:left w:w="108.0" w:type="dxa"/>
        <w:right w:w="108.0" w:type="dxa"/>
      </w:tblCellMar>
    </w:tblPr>
  </w:style>
  <w:style w:type="table" w:styleId="afffffff7" w:customStyle="1">
    <w:basedOn w:val="TableNormalc"/>
    <w:tblPr>
      <w:tblStyleRowBandSize w:val="1"/>
      <w:tblStyleColBandSize w:val="1"/>
      <w:tblCellMar>
        <w:left w:w="108.0" w:type="dxa"/>
        <w:right w:w="108.0" w:type="dxa"/>
      </w:tblCellMar>
    </w:tblPr>
  </w:style>
  <w:style w:type="table" w:styleId="afffffff8" w:customStyle="1">
    <w:basedOn w:val="TableNormalc"/>
    <w:tblPr>
      <w:tblStyleRowBandSize w:val="1"/>
      <w:tblStyleColBandSize w:val="1"/>
      <w:tblCellMar>
        <w:left w:w="108.0" w:type="dxa"/>
        <w:right w:w="108.0" w:type="dxa"/>
      </w:tblCellMar>
    </w:tblPr>
  </w:style>
  <w:style w:type="table" w:styleId="afffffff9" w:customStyle="1">
    <w:basedOn w:val="TableNormalc"/>
    <w:tblPr>
      <w:tblStyleRowBandSize w:val="1"/>
      <w:tblStyleColBandSize w:val="1"/>
      <w:tblCellMar>
        <w:left w:w="108.0" w:type="dxa"/>
        <w:right w:w="108.0" w:type="dxa"/>
      </w:tblCellMar>
    </w:tblPr>
  </w:style>
  <w:style w:type="table" w:styleId="afffffffa" w:customStyle="1">
    <w:basedOn w:val="TableNormalc"/>
    <w:tblPr>
      <w:tblStyleRowBandSize w:val="1"/>
      <w:tblStyleColBandSize w:val="1"/>
      <w:tblCellMar>
        <w:left w:w="108.0" w:type="dxa"/>
        <w:right w:w="108.0" w:type="dxa"/>
      </w:tblCellMar>
    </w:tblPr>
  </w:style>
  <w:style w:type="table" w:styleId="afffffffb" w:customStyle="1">
    <w:basedOn w:val="TableNormalc"/>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64QO0cwxqJuZoo6VUf55kBygQ==">CgMxLjAaHwoBMBIaChgICVIUChJ0YWJsZS5kdHJjeTJpaGJ5cTkaHwoBMRIaChgICVIUChJ0YWJsZS5udXZmM2NlNnd1eWIaHwoBMhIaChgICVIUChJ0YWJsZS5haTN1b29oNzVyZGYaHwoBMxIaChgICVIUChJ0YWJsZS54dHIwbG40dHZsOGY4AHIhMXNrR3pCd2dYQzN0bUVROEEyRXctTUQ2Si1MT1Nwd2lD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