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rPr>
          <w:rFonts w:ascii="Arial" w:cs="Arial" w:eastAsia="Arial" w:hAnsi="Arial"/>
          <w:color w:val="000000"/>
          <w:sz w:val="10"/>
          <w:szCs w:val="10"/>
        </w:rPr>
      </w:pPr>
      <w:r w:rsidDel="00000000" w:rsidR="00000000" w:rsidRPr="00000000">
        <w:rPr>
          <w:rtl w:val="0"/>
        </w:rPr>
      </w:r>
    </w:p>
    <w:tbl>
      <w:tblPr>
        <w:tblStyle w:val="Table1"/>
        <w:tblW w:w="9675.0" w:type="dxa"/>
        <w:jc w:val="left"/>
        <w:tblInd w:w="-6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5"/>
        <w:gridCol w:w="390"/>
        <w:gridCol w:w="3585"/>
        <w:gridCol w:w="495"/>
        <w:tblGridChange w:id="0">
          <w:tblGrid>
            <w:gridCol w:w="5205"/>
            <w:gridCol w:w="390"/>
            <w:gridCol w:w="3585"/>
            <w:gridCol w:w="495"/>
          </w:tblGrid>
        </w:tblGridChange>
      </w:tblGrid>
      <w:tr>
        <w:trPr>
          <w:cantSplit w:val="0"/>
          <w:tblHeader w:val="0"/>
        </w:trPr>
        <w:tc>
          <w:tcPr>
            <w:gridSpan w:val="4"/>
          </w:tcPr>
          <w:p w:rsidR="00000000" w:rsidDel="00000000" w:rsidP="00000000" w:rsidRDefault="00000000" w:rsidRPr="00000000" w14:paraId="00000002">
            <w:pPr>
              <w:ind w:left="0" w:hanging="2"/>
              <w:jc w:val="center"/>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TIPO DE REUNIÓN “Marque con una X”</w:t>
            </w:r>
            <w:r w:rsidDel="00000000" w:rsidR="00000000" w:rsidRPr="00000000">
              <w:rPr>
                <w:rtl w:val="0"/>
              </w:rPr>
            </w:r>
          </w:p>
        </w:tc>
      </w:tr>
      <w:tr>
        <w:trPr>
          <w:cantSplit w:val="0"/>
          <w:tblHeader w:val="0"/>
        </w:trPr>
        <w:tc>
          <w:tcPr/>
          <w:p w:rsidR="00000000" w:rsidDel="00000000" w:rsidP="00000000" w:rsidRDefault="00000000" w:rsidRPr="00000000" w14:paraId="00000006">
            <w:pPr>
              <w:ind w:left="0" w:hanging="2"/>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Comité </w:t>
            </w:r>
          </w:p>
        </w:tc>
        <w:tc>
          <w:tcPr/>
          <w:p w:rsidR="00000000" w:rsidDel="00000000" w:rsidP="00000000" w:rsidRDefault="00000000" w:rsidRPr="00000000" w14:paraId="00000007">
            <w:pPr>
              <w:ind w:left="0" w:hanging="2"/>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x</w:t>
            </w:r>
          </w:p>
        </w:tc>
        <w:tc>
          <w:tcPr/>
          <w:p w:rsidR="00000000" w:rsidDel="00000000" w:rsidP="00000000" w:rsidRDefault="00000000" w:rsidRPr="00000000" w14:paraId="00000008">
            <w:pPr>
              <w:ind w:left="0" w:hanging="2"/>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Auditoría</w:t>
            </w:r>
          </w:p>
        </w:tc>
        <w:tc>
          <w:tcPr/>
          <w:p w:rsidR="00000000" w:rsidDel="00000000" w:rsidP="00000000" w:rsidRDefault="00000000" w:rsidRPr="00000000" w14:paraId="00000009">
            <w:pPr>
              <w:ind w:left="0" w:hanging="2"/>
              <w:rPr>
                <w:rFonts w:ascii="Open Sans" w:cs="Open Sans" w:eastAsia="Open Sans" w:hAnsi="Open Sans"/>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0A">
            <w:pPr>
              <w:ind w:left="0" w:hanging="2"/>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Reunión interna</w:t>
            </w:r>
          </w:p>
        </w:tc>
        <w:tc>
          <w:tcPr/>
          <w:p w:rsidR="00000000" w:rsidDel="00000000" w:rsidP="00000000" w:rsidRDefault="00000000" w:rsidRPr="00000000" w14:paraId="0000000B">
            <w:pPr>
              <w:ind w:left="0" w:hanging="2"/>
              <w:jc w:val="center"/>
              <w:rPr>
                <w:rFonts w:ascii="Open Sans" w:cs="Open Sans" w:eastAsia="Open Sans" w:hAnsi="Open Sans"/>
                <w:sz w:val="22"/>
                <w:szCs w:val="22"/>
              </w:rPr>
            </w:pPr>
            <w:r w:rsidDel="00000000" w:rsidR="00000000" w:rsidRPr="00000000">
              <w:rPr>
                <w:rtl w:val="0"/>
              </w:rPr>
            </w:r>
          </w:p>
        </w:tc>
        <w:tc>
          <w:tcPr/>
          <w:p w:rsidR="00000000" w:rsidDel="00000000" w:rsidP="00000000" w:rsidRDefault="00000000" w:rsidRPr="00000000" w14:paraId="0000000C">
            <w:pPr>
              <w:ind w:left="0" w:hanging="2"/>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Capacitación</w:t>
            </w:r>
          </w:p>
        </w:tc>
        <w:tc>
          <w:tcPr/>
          <w:p w:rsidR="00000000" w:rsidDel="00000000" w:rsidP="00000000" w:rsidRDefault="00000000" w:rsidRPr="00000000" w14:paraId="0000000D">
            <w:pPr>
              <w:ind w:left="0" w:hanging="2"/>
              <w:rPr>
                <w:rFonts w:ascii="Open Sans" w:cs="Open Sans" w:eastAsia="Open Sans" w:hAnsi="Open Sans"/>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0E">
            <w:pPr>
              <w:ind w:left="0" w:hanging="2"/>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Reunión Personal</w:t>
            </w:r>
          </w:p>
        </w:tc>
        <w:tc>
          <w:tcPr/>
          <w:p w:rsidR="00000000" w:rsidDel="00000000" w:rsidP="00000000" w:rsidRDefault="00000000" w:rsidRPr="00000000" w14:paraId="0000000F">
            <w:pPr>
              <w:ind w:left="0" w:hanging="2"/>
              <w:rPr>
                <w:rFonts w:ascii="Open Sans" w:cs="Open Sans" w:eastAsia="Open Sans" w:hAnsi="Open Sans"/>
                <w:sz w:val="22"/>
                <w:szCs w:val="22"/>
              </w:rPr>
            </w:pPr>
            <w:r w:rsidDel="00000000" w:rsidR="00000000" w:rsidRPr="00000000">
              <w:rPr>
                <w:rtl w:val="0"/>
              </w:rPr>
            </w:r>
          </w:p>
        </w:tc>
        <w:tc>
          <w:tcPr/>
          <w:p w:rsidR="00000000" w:rsidDel="00000000" w:rsidP="00000000" w:rsidRDefault="00000000" w:rsidRPr="00000000" w14:paraId="00000010">
            <w:pPr>
              <w:ind w:left="0" w:hanging="2"/>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Junta Directiva </w:t>
            </w:r>
          </w:p>
        </w:tc>
        <w:tc>
          <w:tcPr/>
          <w:p w:rsidR="00000000" w:rsidDel="00000000" w:rsidP="00000000" w:rsidRDefault="00000000" w:rsidRPr="00000000" w14:paraId="00000011">
            <w:pPr>
              <w:ind w:left="0" w:hanging="2"/>
              <w:rPr>
                <w:rFonts w:ascii="Open Sans" w:cs="Open Sans" w:eastAsia="Open Sans" w:hAnsi="Open Sans"/>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12">
            <w:pPr>
              <w:ind w:left="0" w:hanging="2"/>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Reunión con cliente y/o proveedores</w:t>
            </w:r>
          </w:p>
        </w:tc>
        <w:tc>
          <w:tcPr/>
          <w:p w:rsidR="00000000" w:rsidDel="00000000" w:rsidP="00000000" w:rsidRDefault="00000000" w:rsidRPr="00000000" w14:paraId="00000013">
            <w:pPr>
              <w:ind w:left="0" w:hanging="2"/>
              <w:rPr>
                <w:rFonts w:ascii="Open Sans" w:cs="Open Sans" w:eastAsia="Open Sans" w:hAnsi="Open Sans"/>
                <w:sz w:val="22"/>
                <w:szCs w:val="22"/>
              </w:rPr>
            </w:pPr>
            <w:r w:rsidDel="00000000" w:rsidR="00000000" w:rsidRPr="00000000">
              <w:rPr>
                <w:rtl w:val="0"/>
              </w:rPr>
            </w:r>
          </w:p>
        </w:tc>
        <w:tc>
          <w:tcPr/>
          <w:p w:rsidR="00000000" w:rsidDel="00000000" w:rsidP="00000000" w:rsidRDefault="00000000" w:rsidRPr="00000000" w14:paraId="00000014">
            <w:pPr>
              <w:ind w:left="0" w:hanging="2"/>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Visita entes reguladores</w:t>
            </w:r>
          </w:p>
        </w:tc>
        <w:tc>
          <w:tcPr/>
          <w:p w:rsidR="00000000" w:rsidDel="00000000" w:rsidP="00000000" w:rsidRDefault="00000000" w:rsidRPr="00000000" w14:paraId="00000015">
            <w:pPr>
              <w:ind w:left="0" w:hanging="2"/>
              <w:rPr>
                <w:rFonts w:ascii="Open Sans" w:cs="Open Sans" w:eastAsia="Open Sans" w:hAnsi="Open Sans"/>
                <w:sz w:val="22"/>
                <w:szCs w:val="22"/>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16">
            <w:pPr>
              <w:ind w:left="0" w:hanging="2"/>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Otro, ¿Cuál? </w:t>
            </w:r>
          </w:p>
        </w:tc>
      </w:tr>
    </w:tbl>
    <w:p w:rsidR="00000000" w:rsidDel="00000000" w:rsidP="00000000" w:rsidRDefault="00000000" w:rsidRPr="00000000" w14:paraId="0000001A">
      <w:pPr>
        <w:ind w:left="0" w:hanging="2"/>
        <w:jc w:val="both"/>
        <w:rPr>
          <w:rFonts w:ascii="Open Sans" w:cs="Open Sans" w:eastAsia="Open Sans" w:hAnsi="Open Sans"/>
          <w:sz w:val="22"/>
          <w:szCs w:val="22"/>
        </w:rPr>
      </w:pPr>
      <w:r w:rsidDel="00000000" w:rsidR="00000000" w:rsidRPr="00000000">
        <w:rPr>
          <w:rtl w:val="0"/>
        </w:rPr>
      </w:r>
    </w:p>
    <w:tbl>
      <w:tblPr>
        <w:tblStyle w:val="Table2"/>
        <w:tblW w:w="9675.0" w:type="dxa"/>
        <w:jc w:val="left"/>
        <w:tblInd w:w="-6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2955"/>
        <w:gridCol w:w="3360"/>
        <w:tblGridChange w:id="0">
          <w:tblGrid>
            <w:gridCol w:w="3360"/>
            <w:gridCol w:w="2955"/>
            <w:gridCol w:w="3360"/>
          </w:tblGrid>
        </w:tblGridChange>
      </w:tblGrid>
      <w:tr>
        <w:trPr>
          <w:cantSplit w:val="0"/>
          <w:tblHeader w:val="0"/>
        </w:trPr>
        <w:tc>
          <w:tcPr>
            <w:gridSpan w:val="3"/>
          </w:tcPr>
          <w:p w:rsidR="00000000" w:rsidDel="00000000" w:rsidP="00000000" w:rsidRDefault="00000000" w:rsidRPr="00000000" w14:paraId="0000001B">
            <w:pPr>
              <w:ind w:left="0" w:hanging="2"/>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OBJETIVO DE LA REUNIÓN: COMITE AMBIENTAL</w:t>
            </w:r>
            <w:r w:rsidDel="00000000" w:rsidR="00000000" w:rsidRPr="00000000">
              <w:rPr>
                <w:rtl w:val="0"/>
              </w:rPr>
            </w:r>
          </w:p>
        </w:tc>
      </w:tr>
      <w:tr>
        <w:trPr>
          <w:cantSplit w:val="0"/>
          <w:tblHeader w:val="0"/>
        </w:trPr>
        <w:tc>
          <w:tcPr/>
          <w:p w:rsidR="00000000" w:rsidDel="00000000" w:rsidP="00000000" w:rsidRDefault="00000000" w:rsidRPr="00000000" w14:paraId="0000001E">
            <w:pPr>
              <w:ind w:left="0" w:hanging="2"/>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FECHA:  11 DE JULIO 2025</w:t>
            </w:r>
            <w:r w:rsidDel="00000000" w:rsidR="00000000" w:rsidRPr="00000000">
              <w:rPr>
                <w:rtl w:val="0"/>
              </w:rPr>
            </w:r>
          </w:p>
        </w:tc>
        <w:tc>
          <w:tcPr/>
          <w:p w:rsidR="00000000" w:rsidDel="00000000" w:rsidP="00000000" w:rsidRDefault="00000000" w:rsidRPr="00000000" w14:paraId="0000001F">
            <w:pPr>
              <w:ind w:left="0" w:hanging="2"/>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HORA DE INICIO: 8:00AM</w:t>
            </w:r>
            <w:r w:rsidDel="00000000" w:rsidR="00000000" w:rsidRPr="00000000">
              <w:rPr>
                <w:rtl w:val="0"/>
              </w:rPr>
            </w:r>
          </w:p>
        </w:tc>
        <w:tc>
          <w:tcPr/>
          <w:p w:rsidR="00000000" w:rsidDel="00000000" w:rsidP="00000000" w:rsidRDefault="00000000" w:rsidRPr="00000000" w14:paraId="00000020">
            <w:pPr>
              <w:ind w:left="0" w:right="-108" w:hanging="2"/>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HORA FINALIZACIÓN: 8:30 AM </w:t>
            </w:r>
            <w:r w:rsidDel="00000000" w:rsidR="00000000" w:rsidRPr="00000000">
              <w:rPr>
                <w:rtl w:val="0"/>
              </w:rPr>
            </w:r>
          </w:p>
        </w:tc>
      </w:tr>
      <w:tr>
        <w:trPr>
          <w:cantSplit w:val="0"/>
          <w:trHeight w:val="300" w:hRule="atLeast"/>
          <w:tblHeader w:val="0"/>
        </w:trPr>
        <w:tc>
          <w:tcPr>
            <w:gridSpan w:val="3"/>
          </w:tcPr>
          <w:p w:rsidR="00000000" w:rsidDel="00000000" w:rsidP="00000000" w:rsidRDefault="00000000" w:rsidRPr="00000000" w14:paraId="00000021">
            <w:pPr>
              <w:ind w:left="0" w:hanging="2"/>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LUGAR:  PRESENCIAL EN SEDE</w:t>
            </w:r>
            <w:r w:rsidDel="00000000" w:rsidR="00000000" w:rsidRPr="00000000">
              <w:rPr>
                <w:rtl w:val="0"/>
              </w:rPr>
            </w:r>
          </w:p>
        </w:tc>
      </w:tr>
    </w:tbl>
    <w:p w:rsidR="00000000" w:rsidDel="00000000" w:rsidP="00000000" w:rsidRDefault="00000000" w:rsidRPr="00000000" w14:paraId="00000024">
      <w:pPr>
        <w:ind w:left="0" w:hanging="2"/>
        <w:jc w:val="both"/>
        <w:rPr>
          <w:rFonts w:ascii="Open Sans" w:cs="Open Sans" w:eastAsia="Open Sans" w:hAnsi="Open Sans"/>
          <w:sz w:val="22"/>
          <w:szCs w:val="22"/>
        </w:rPr>
      </w:pPr>
      <w:r w:rsidDel="00000000" w:rsidR="00000000" w:rsidRPr="00000000">
        <w:rPr>
          <w:rtl w:val="0"/>
        </w:rPr>
      </w:r>
    </w:p>
    <w:tbl>
      <w:tblPr>
        <w:tblStyle w:val="Table3"/>
        <w:tblW w:w="9660.0" w:type="dxa"/>
        <w:jc w:val="left"/>
        <w:tblInd w:w="-6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60"/>
        <w:tblGridChange w:id="0">
          <w:tblGrid>
            <w:gridCol w:w="9660"/>
          </w:tblGrid>
        </w:tblGridChange>
      </w:tblGrid>
      <w:tr>
        <w:trPr>
          <w:cantSplit w:val="0"/>
          <w:tblHeader w:val="0"/>
        </w:trPr>
        <w:tc>
          <w:tcPr/>
          <w:p w:rsidR="00000000" w:rsidDel="00000000" w:rsidP="00000000" w:rsidRDefault="00000000" w:rsidRPr="00000000" w14:paraId="00000025">
            <w:pPr>
              <w:ind w:left="0" w:hanging="2"/>
              <w:jc w:val="center"/>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TEMAS A TRATAR:</w:t>
            </w:r>
            <w:r w:rsidDel="00000000" w:rsidR="00000000" w:rsidRPr="00000000">
              <w:rPr>
                <w:rtl w:val="0"/>
              </w:rPr>
            </w:r>
          </w:p>
        </w:tc>
      </w:tr>
      <w:tr>
        <w:trPr>
          <w:cantSplit w:val="0"/>
          <w:trHeight w:val="59" w:hRule="atLeast"/>
          <w:tblHeader w:val="0"/>
        </w:trPr>
        <w:tc>
          <w:tcPr/>
          <w:p w:rsidR="00000000" w:rsidDel="00000000" w:rsidP="00000000" w:rsidRDefault="00000000" w:rsidRPr="00000000" w14:paraId="00000026">
            <w:pPr>
              <w:numPr>
                <w:ilvl w:val="0"/>
                <w:numId w:val="3"/>
              </w:numPr>
              <w:ind w:left="0" w:right="-143" w:hanging="2"/>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Verificación del quórum.</w:t>
            </w:r>
          </w:p>
        </w:tc>
      </w:tr>
      <w:tr>
        <w:trPr>
          <w:cantSplit w:val="0"/>
          <w:tblHeader w:val="0"/>
        </w:trPr>
        <w:tc>
          <w:tcPr/>
          <w:p w:rsidR="00000000" w:rsidDel="00000000" w:rsidP="00000000" w:rsidRDefault="00000000" w:rsidRPr="00000000" w14:paraId="00000027">
            <w:pPr>
              <w:numPr>
                <w:ilvl w:val="0"/>
                <w:numId w:val="3"/>
              </w:numPr>
              <w:ind w:left="0" w:right="-143" w:hanging="2"/>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Lectura y aprobación del acta anterior.</w:t>
            </w:r>
          </w:p>
        </w:tc>
      </w:tr>
      <w:tr>
        <w:trPr>
          <w:cantSplit w:val="0"/>
          <w:tblHeader w:val="0"/>
        </w:trPr>
        <w:tc>
          <w:tcPr/>
          <w:p w:rsidR="00000000" w:rsidDel="00000000" w:rsidP="00000000" w:rsidRDefault="00000000" w:rsidRPr="00000000" w14:paraId="00000028">
            <w:pPr>
              <w:numPr>
                <w:ilvl w:val="0"/>
                <w:numId w:val="3"/>
              </w:numPr>
              <w:ind w:left="0" w:hanging="2"/>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Revisión de documentos PGIRASA</w:t>
            </w:r>
          </w:p>
        </w:tc>
      </w:tr>
      <w:tr>
        <w:trPr>
          <w:cantSplit w:val="0"/>
          <w:tblHeader w:val="0"/>
        </w:trPr>
        <w:tc>
          <w:tcPr/>
          <w:p w:rsidR="00000000" w:rsidDel="00000000" w:rsidP="00000000" w:rsidRDefault="00000000" w:rsidRPr="00000000" w14:paraId="00000029">
            <w:pPr>
              <w:numPr>
                <w:ilvl w:val="0"/>
                <w:numId w:val="3"/>
              </w:numPr>
              <w:ind w:left="0" w:hanging="2"/>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Proposiciones y Varios</w:t>
            </w:r>
          </w:p>
        </w:tc>
      </w:tr>
    </w:tbl>
    <w:p w:rsidR="00000000" w:rsidDel="00000000" w:rsidP="00000000" w:rsidRDefault="00000000" w:rsidRPr="00000000" w14:paraId="0000002A">
      <w:pPr>
        <w:ind w:hanging="2"/>
        <w:jc w:val="both"/>
        <w:rPr>
          <w:rFonts w:ascii="Century Gothic" w:cs="Century Gothic" w:eastAsia="Century Gothic" w:hAnsi="Century Gothic"/>
          <w:sz w:val="22"/>
          <w:szCs w:val="22"/>
        </w:rPr>
      </w:pPr>
      <w:r w:rsidDel="00000000" w:rsidR="00000000" w:rsidRPr="00000000">
        <w:rPr>
          <w:rtl w:val="0"/>
        </w:rPr>
      </w:r>
    </w:p>
    <w:tbl>
      <w:tblPr>
        <w:tblStyle w:val="Table4"/>
        <w:tblW w:w="9630.0" w:type="dxa"/>
        <w:jc w:val="left"/>
        <w:tblInd w:w="-6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25"/>
        <w:gridCol w:w="825"/>
        <w:gridCol w:w="780"/>
        <w:tblGridChange w:id="0">
          <w:tblGrid>
            <w:gridCol w:w="8025"/>
            <w:gridCol w:w="825"/>
            <w:gridCol w:w="780"/>
          </w:tblGrid>
        </w:tblGridChange>
      </w:tblGrid>
      <w:tr>
        <w:trPr>
          <w:cantSplit w:val="0"/>
          <w:trHeight w:val="179" w:hRule="atLeast"/>
          <w:tblHeader w:val="0"/>
        </w:trPr>
        <w:tc>
          <w:tcPr>
            <w:vMerge w:val="restart"/>
            <w:vAlign w:val="center"/>
          </w:tcPr>
          <w:p w:rsidR="00000000" w:rsidDel="00000000" w:rsidP="00000000" w:rsidRDefault="00000000" w:rsidRPr="00000000" w14:paraId="0000002B">
            <w:pPr>
              <w:spacing w:after="40" w:before="40" w:lineRule="auto"/>
              <w:ind w:hanging="2"/>
              <w:jc w:val="center"/>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COMPROMISOS ACTA ANTERIOR</w:t>
            </w:r>
            <w:r w:rsidDel="00000000" w:rsidR="00000000" w:rsidRPr="00000000">
              <w:rPr>
                <w:rtl w:val="0"/>
              </w:rPr>
            </w:r>
          </w:p>
        </w:tc>
        <w:tc>
          <w:tcPr>
            <w:gridSpan w:val="2"/>
            <w:vAlign w:val="center"/>
          </w:tcPr>
          <w:p w:rsidR="00000000" w:rsidDel="00000000" w:rsidP="00000000" w:rsidRDefault="00000000" w:rsidRPr="00000000" w14:paraId="0000002C">
            <w:pPr>
              <w:spacing w:after="40" w:before="40" w:lineRule="auto"/>
              <w:ind w:hanging="2"/>
              <w:jc w:val="center"/>
              <w:rPr>
                <w:rFonts w:ascii="Open Sans" w:cs="Open Sans" w:eastAsia="Open Sans" w:hAnsi="Open Sans"/>
                <w:sz w:val="20"/>
                <w:szCs w:val="20"/>
              </w:rPr>
            </w:pPr>
            <w:r w:rsidDel="00000000" w:rsidR="00000000" w:rsidRPr="00000000">
              <w:rPr>
                <w:rFonts w:ascii="Open Sans" w:cs="Open Sans" w:eastAsia="Open Sans" w:hAnsi="Open Sans"/>
                <w:b w:val="1"/>
                <w:sz w:val="20"/>
                <w:szCs w:val="20"/>
                <w:rtl w:val="0"/>
              </w:rPr>
              <w:t xml:space="preserve">CUMPLIÓ</w:t>
            </w:r>
            <w:r w:rsidDel="00000000" w:rsidR="00000000" w:rsidRPr="00000000">
              <w:rPr>
                <w:rtl w:val="0"/>
              </w:rPr>
            </w:r>
          </w:p>
        </w:tc>
      </w:tr>
      <w:tr>
        <w:trPr>
          <w:cantSplit w:val="0"/>
          <w:trHeight w:val="238" w:hRule="atLeast"/>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0"/>
                <w:szCs w:val="20"/>
              </w:rPr>
            </w:pPr>
            <w:r w:rsidDel="00000000" w:rsidR="00000000" w:rsidRPr="00000000">
              <w:rPr>
                <w:rtl w:val="0"/>
              </w:rPr>
            </w:r>
          </w:p>
        </w:tc>
        <w:tc>
          <w:tcPr>
            <w:vAlign w:val="center"/>
          </w:tcPr>
          <w:p w:rsidR="00000000" w:rsidDel="00000000" w:rsidP="00000000" w:rsidRDefault="00000000" w:rsidRPr="00000000" w14:paraId="0000002F">
            <w:pPr>
              <w:spacing w:after="40" w:before="40" w:lineRule="auto"/>
              <w:ind w:hanging="2"/>
              <w:jc w:val="center"/>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SI</w:t>
            </w:r>
            <w:r w:rsidDel="00000000" w:rsidR="00000000" w:rsidRPr="00000000">
              <w:rPr>
                <w:rtl w:val="0"/>
              </w:rPr>
            </w:r>
          </w:p>
        </w:tc>
        <w:tc>
          <w:tcPr>
            <w:vAlign w:val="center"/>
          </w:tcPr>
          <w:p w:rsidR="00000000" w:rsidDel="00000000" w:rsidP="00000000" w:rsidRDefault="00000000" w:rsidRPr="00000000" w14:paraId="00000030">
            <w:pPr>
              <w:spacing w:after="40" w:before="40" w:lineRule="auto"/>
              <w:ind w:hanging="2"/>
              <w:jc w:val="center"/>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NO</w:t>
            </w:r>
            <w:r w:rsidDel="00000000" w:rsidR="00000000" w:rsidRPr="00000000">
              <w:rPr>
                <w:rtl w:val="0"/>
              </w:rPr>
            </w:r>
          </w:p>
        </w:tc>
      </w:tr>
      <w:tr>
        <w:trPr>
          <w:cantSplit w:val="0"/>
          <w:trHeight w:val="513" w:hRule="atLeast"/>
          <w:tblHeader w:val="0"/>
        </w:trPr>
        <w:tc>
          <w:tcPr>
            <w:vAlign w:val="center"/>
          </w:tcPr>
          <w:p w:rsidR="00000000" w:rsidDel="00000000" w:rsidP="00000000" w:rsidRDefault="00000000" w:rsidRPr="00000000" w14:paraId="00000031">
            <w:pPr>
              <w:numPr>
                <w:ilvl w:val="0"/>
                <w:numId w:val="4"/>
              </w:numPr>
              <w:spacing w:after="40" w:before="40" w:lineRule="auto"/>
              <w:ind w:left="720" w:hanging="36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Revisión del PGIRASA</w:t>
            </w:r>
          </w:p>
        </w:tc>
        <w:tc>
          <w:tcPr>
            <w:vAlign w:val="center"/>
          </w:tcPr>
          <w:p w:rsidR="00000000" w:rsidDel="00000000" w:rsidP="00000000" w:rsidRDefault="00000000" w:rsidRPr="00000000" w14:paraId="00000032">
            <w:pPr>
              <w:spacing w:after="40" w:before="40" w:lineRule="auto"/>
              <w:ind w:hanging="2"/>
              <w:jc w:val="cente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X</w:t>
            </w:r>
          </w:p>
        </w:tc>
        <w:tc>
          <w:tcPr>
            <w:vAlign w:val="center"/>
          </w:tcPr>
          <w:p w:rsidR="00000000" w:rsidDel="00000000" w:rsidP="00000000" w:rsidRDefault="00000000" w:rsidRPr="00000000" w14:paraId="00000033">
            <w:pPr>
              <w:spacing w:after="40" w:before="40" w:lineRule="auto"/>
              <w:ind w:hanging="2"/>
              <w:jc w:val="center"/>
              <w:rPr>
                <w:rFonts w:ascii="Open Sans" w:cs="Open Sans" w:eastAsia="Open Sans" w:hAnsi="Open Sans"/>
                <w:sz w:val="22"/>
                <w:szCs w:val="22"/>
              </w:rPr>
            </w:pPr>
            <w:r w:rsidDel="00000000" w:rsidR="00000000" w:rsidRPr="00000000">
              <w:rPr>
                <w:rtl w:val="0"/>
              </w:rPr>
            </w:r>
          </w:p>
        </w:tc>
      </w:tr>
    </w:tbl>
    <w:p w:rsidR="00000000" w:rsidDel="00000000" w:rsidP="00000000" w:rsidRDefault="00000000" w:rsidRPr="00000000" w14:paraId="00000034">
      <w:pPr>
        <w:ind w:hanging="2"/>
        <w:jc w:val="both"/>
        <w:rPr>
          <w:rFonts w:ascii="Open Sans" w:cs="Open Sans" w:eastAsia="Open Sans" w:hAnsi="Open Sans"/>
          <w:sz w:val="22"/>
          <w:szCs w:val="22"/>
        </w:rPr>
      </w:pPr>
      <w:r w:rsidDel="00000000" w:rsidR="00000000" w:rsidRPr="00000000">
        <w:rPr>
          <w:rtl w:val="0"/>
        </w:rPr>
      </w:r>
    </w:p>
    <w:tbl>
      <w:tblPr>
        <w:tblStyle w:val="Table5"/>
        <w:tblW w:w="9630.0" w:type="dxa"/>
        <w:jc w:val="left"/>
        <w:tblInd w:w="-66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0"/>
        <w:tblGridChange w:id="0">
          <w:tblGrid>
            <w:gridCol w:w="9630"/>
          </w:tblGrid>
        </w:tblGridChange>
      </w:tblGrid>
      <w:tr>
        <w:trPr>
          <w:cantSplit w:val="0"/>
          <w:tblHeader w:val="0"/>
        </w:trPr>
        <w:tc>
          <w:tcPr/>
          <w:p w:rsidR="00000000" w:rsidDel="00000000" w:rsidP="00000000" w:rsidRDefault="00000000" w:rsidRPr="00000000" w14:paraId="00000035">
            <w:pPr>
              <w:ind w:left="0" w:hanging="2"/>
              <w:jc w:val="center"/>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DESARROLLO DE LA REUNION (COMENTARIOS)</w:t>
            </w:r>
            <w:r w:rsidDel="00000000" w:rsidR="00000000" w:rsidRPr="00000000">
              <w:rPr>
                <w:rtl w:val="0"/>
              </w:rPr>
            </w:r>
          </w:p>
        </w:tc>
      </w:tr>
      <w:tr>
        <w:trPr>
          <w:cantSplit w:val="0"/>
          <w:tblHeader w:val="0"/>
        </w:trPr>
        <w:tc>
          <w:tcPr/>
          <w:p w:rsidR="00000000" w:rsidDel="00000000" w:rsidP="00000000" w:rsidRDefault="00000000" w:rsidRPr="00000000" w14:paraId="00000036">
            <w:pPr>
              <w:tabs>
                <w:tab w:val="center" w:leader="none" w:pos="4252"/>
                <w:tab w:val="right" w:leader="none" w:pos="8504"/>
              </w:tabs>
              <w:spacing w:after="240" w:before="240" w:lineRule="auto"/>
              <w:ind w:firstLine="0"/>
              <w:jc w:val="both"/>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Objetivo de la reunión:</w:t>
              <w:br w:type="textWrapping"/>
            </w:r>
            <w:r w:rsidDel="00000000" w:rsidR="00000000" w:rsidRPr="00000000">
              <w:rPr>
                <w:rFonts w:ascii="Open Sans" w:cs="Open Sans" w:eastAsia="Open Sans" w:hAnsi="Open Sans"/>
                <w:sz w:val="22"/>
                <w:szCs w:val="22"/>
                <w:rtl w:val="0"/>
              </w:rPr>
              <w:t xml:space="preserve">Dar seguimiento a los compromisos establecidos en el acta anterior del Comité Ambiental, verificar el cumplimiento de las actividades programadas, socializar los avances en la actualización de protocolos ambientales, con énfasis en el PGIRASA, y realizar una jornada de capacitación sobre residuos y bioseguridad.</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80" w:before="280" w:line="240" w:lineRule="auto"/>
              <w:ind w:left="0" w:right="0" w:firstLine="0"/>
              <w:jc w:val="both"/>
              <w:rPr>
                <w:rFonts w:ascii="Open Sans" w:cs="Open Sans" w:eastAsia="Open Sans" w:hAnsi="Open Sans"/>
                <w:b w:val="1"/>
                <w:i w:val="0"/>
                <w:smallCaps w:val="0"/>
                <w:strike w:val="0"/>
                <w:color w:val="000000"/>
                <w:sz w:val="22"/>
                <w:szCs w:val="22"/>
                <w:u w:val="none"/>
                <w:shd w:fill="auto" w:val="clear"/>
                <w:vertAlign w:val="baseline"/>
              </w:rPr>
            </w:pPr>
            <w:bookmarkStart w:colFirst="0" w:colLast="0" w:name="_heading=h.nin7zrq2xt2n" w:id="0"/>
            <w:bookmarkEnd w:id="0"/>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DESARROLLO DE LA REUNIÓN</w:t>
            </w:r>
          </w:p>
          <w:p w:rsidR="00000000" w:rsidDel="00000000" w:rsidP="00000000" w:rsidRDefault="00000000" w:rsidRPr="00000000" w14:paraId="00000038">
            <w:pPr>
              <w:tabs>
                <w:tab w:val="center" w:leader="none" w:pos="4252"/>
                <w:tab w:val="right" w:leader="none" w:pos="8504"/>
              </w:tabs>
              <w:spacing w:after="240" w:before="240" w:lineRule="auto"/>
              <w:ind w:firstLine="0"/>
              <w:jc w:val="both"/>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1. Seguimiento a compromisos previos</w:t>
              <w:br w:type="textWrapping"/>
            </w:r>
            <w:r w:rsidDel="00000000" w:rsidR="00000000" w:rsidRPr="00000000">
              <w:rPr>
                <w:rFonts w:ascii="Open Sans" w:cs="Open Sans" w:eastAsia="Open Sans" w:hAnsi="Open Sans"/>
                <w:sz w:val="22"/>
                <w:szCs w:val="22"/>
                <w:rtl w:val="0"/>
              </w:rPr>
              <w:t xml:space="preserve">El comité inició la sesión revisando el cumplimiento de las actividades pendientes del acta anterior, confirmando la finalización de la actualización del Manual del PGIRASA, integrando los lineamientos establecidos por la Resolución 591 de 2024. Esta actualización respondió a la necesidad de incorporar nuevas exigencias normativas en la gestión integral de residuos hospitalarios y peligrosos.</w:t>
            </w:r>
          </w:p>
          <w:p w:rsidR="00000000" w:rsidDel="00000000" w:rsidP="00000000" w:rsidRDefault="00000000" w:rsidRPr="00000000" w14:paraId="00000039">
            <w:pPr>
              <w:tabs>
                <w:tab w:val="center" w:leader="none" w:pos="4252"/>
                <w:tab w:val="right" w:leader="none" w:pos="8504"/>
              </w:tabs>
              <w:spacing w:after="240" w:before="240" w:lineRule="auto"/>
              <w:ind w:firstLine="0"/>
              <w:jc w:val="both"/>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2. Actualización del PGIRASA</w:t>
              <w:br w:type="textWrapping"/>
            </w:r>
            <w:r w:rsidDel="00000000" w:rsidR="00000000" w:rsidRPr="00000000">
              <w:rPr>
                <w:rFonts w:ascii="Open Sans" w:cs="Open Sans" w:eastAsia="Open Sans" w:hAnsi="Open Sans"/>
                <w:sz w:val="22"/>
                <w:szCs w:val="22"/>
                <w:rtl w:val="0"/>
              </w:rPr>
              <w:t xml:space="preserve">Se realizó una presentación detallada sobre los principales cambios incluidos en el manual actualizado, entre ellos:</w:t>
            </w:r>
          </w:p>
          <w:p w:rsidR="00000000" w:rsidDel="00000000" w:rsidP="00000000" w:rsidRDefault="00000000" w:rsidRPr="00000000" w14:paraId="0000003A">
            <w:pPr>
              <w:numPr>
                <w:ilvl w:val="0"/>
                <w:numId w:val="6"/>
              </w:numPr>
              <w:tabs>
                <w:tab w:val="center" w:leader="none" w:pos="4252"/>
                <w:tab w:val="right" w:leader="none" w:pos="8504"/>
              </w:tabs>
              <w:spacing w:after="0" w:before="240" w:line="240" w:lineRule="auto"/>
              <w:ind w:left="720" w:hanging="36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Revisión del diagnóstico de generación de residuos por áreas.</w:t>
            </w:r>
          </w:p>
          <w:p w:rsidR="00000000" w:rsidDel="00000000" w:rsidP="00000000" w:rsidRDefault="00000000" w:rsidRPr="00000000" w14:paraId="0000003B">
            <w:pPr>
              <w:numPr>
                <w:ilvl w:val="0"/>
                <w:numId w:val="6"/>
              </w:numPr>
              <w:tabs>
                <w:tab w:val="center" w:leader="none" w:pos="4252"/>
                <w:tab w:val="right" w:leader="none" w:pos="8504"/>
              </w:tabs>
              <w:spacing w:after="0" w:before="0" w:line="240" w:lineRule="auto"/>
              <w:ind w:left="720" w:hanging="36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Reestructuración de la clasificación de residuos conforme al nuevo anexo técnico.</w:t>
            </w:r>
          </w:p>
          <w:p w:rsidR="00000000" w:rsidDel="00000000" w:rsidP="00000000" w:rsidRDefault="00000000" w:rsidRPr="00000000" w14:paraId="0000003C">
            <w:pPr>
              <w:numPr>
                <w:ilvl w:val="0"/>
                <w:numId w:val="6"/>
              </w:numPr>
              <w:tabs>
                <w:tab w:val="center" w:leader="none" w:pos="4252"/>
                <w:tab w:val="right" w:leader="none" w:pos="8504"/>
              </w:tabs>
              <w:spacing w:after="0" w:before="0" w:line="240" w:lineRule="auto"/>
              <w:ind w:left="720" w:hanging="36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Redistribución de responsabilidades según roles institucionales.</w:t>
            </w:r>
          </w:p>
          <w:p w:rsidR="00000000" w:rsidDel="00000000" w:rsidP="00000000" w:rsidRDefault="00000000" w:rsidRPr="00000000" w14:paraId="0000003D">
            <w:pPr>
              <w:numPr>
                <w:ilvl w:val="0"/>
                <w:numId w:val="6"/>
              </w:numPr>
              <w:tabs>
                <w:tab w:val="center" w:leader="none" w:pos="4252"/>
                <w:tab w:val="right" w:leader="none" w:pos="8504"/>
              </w:tabs>
              <w:spacing w:after="0" w:before="0" w:line="240" w:lineRule="auto"/>
              <w:ind w:left="720" w:hanging="36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Lineamientos específicos para almacenamiento temporal, transporte interno y externo, y disposición de residuos especiales (cortopunzantes, medicamentos vencidos, entre otros).</w:t>
            </w:r>
          </w:p>
          <w:p w:rsidR="00000000" w:rsidDel="00000000" w:rsidP="00000000" w:rsidRDefault="00000000" w:rsidRPr="00000000" w14:paraId="0000003E">
            <w:pPr>
              <w:numPr>
                <w:ilvl w:val="0"/>
                <w:numId w:val="6"/>
              </w:numPr>
              <w:tabs>
                <w:tab w:val="center" w:leader="none" w:pos="4252"/>
                <w:tab w:val="right" w:leader="none" w:pos="8504"/>
              </w:tabs>
              <w:spacing w:after="240" w:before="0" w:line="240" w:lineRule="auto"/>
              <w:ind w:left="720" w:hanging="36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Inclusión de prácticas sostenibles como parte de la política institucional ambiental.</w:t>
            </w:r>
          </w:p>
          <w:p w:rsidR="00000000" w:rsidDel="00000000" w:rsidP="00000000" w:rsidRDefault="00000000" w:rsidRPr="00000000" w14:paraId="0000003F">
            <w:pPr>
              <w:tabs>
                <w:tab w:val="center" w:leader="none" w:pos="4252"/>
                <w:tab w:val="right" w:leader="none" w:pos="8504"/>
              </w:tabs>
              <w:spacing w:after="240" w:before="240" w:lineRule="auto"/>
              <w:ind w:firstLine="0"/>
              <w:jc w:val="both"/>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3. Revisión de otros protocolos ambientales</w:t>
              <w:br w:type="textWrapping"/>
            </w:r>
            <w:r w:rsidDel="00000000" w:rsidR="00000000" w:rsidRPr="00000000">
              <w:rPr>
                <w:rFonts w:ascii="Open Sans" w:cs="Open Sans" w:eastAsia="Open Sans" w:hAnsi="Open Sans"/>
                <w:sz w:val="22"/>
                <w:szCs w:val="22"/>
                <w:rtl w:val="0"/>
              </w:rPr>
              <w:t xml:space="preserve">Además del PGIRASA, se inició la revisión y actualización de otros protocolos asociados, incluyendo manejo de residuos especiales, derrames químicos y gestión de aguas residuales. Este proceso se encuentra en etapa de ajuste técnico para alinearlos con la normatividad vigente.</w:t>
            </w:r>
          </w:p>
          <w:p w:rsidR="00000000" w:rsidDel="00000000" w:rsidP="00000000" w:rsidRDefault="00000000" w:rsidRPr="00000000" w14:paraId="00000040">
            <w:pPr>
              <w:tabs>
                <w:tab w:val="center" w:leader="none" w:pos="4252"/>
                <w:tab w:val="right" w:leader="none" w:pos="8504"/>
              </w:tabs>
              <w:spacing w:after="240" w:before="240" w:lineRule="auto"/>
              <w:ind w:firstLine="0"/>
              <w:jc w:val="both"/>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4. Actualización de la Ruta de Residuos</w:t>
              <w:br w:type="textWrapping"/>
            </w:r>
            <w:r w:rsidDel="00000000" w:rsidR="00000000" w:rsidRPr="00000000">
              <w:rPr>
                <w:rFonts w:ascii="Open Sans" w:cs="Open Sans" w:eastAsia="Open Sans" w:hAnsi="Open Sans"/>
                <w:sz w:val="22"/>
                <w:szCs w:val="22"/>
                <w:rtl w:val="0"/>
              </w:rPr>
              <w:t xml:space="preserve">A partir de los cambios en el PGIRASA, se presentó la nueva </w:t>
            </w:r>
            <w:r w:rsidDel="00000000" w:rsidR="00000000" w:rsidRPr="00000000">
              <w:rPr>
                <w:rFonts w:ascii="Open Sans" w:cs="Open Sans" w:eastAsia="Open Sans" w:hAnsi="Open Sans"/>
                <w:b w:val="1"/>
                <w:sz w:val="22"/>
                <w:szCs w:val="22"/>
                <w:rtl w:val="0"/>
              </w:rPr>
              <w:t xml:space="preserve">Ruta de Residuos</w:t>
            </w:r>
            <w:r w:rsidDel="00000000" w:rsidR="00000000" w:rsidRPr="00000000">
              <w:rPr>
                <w:rFonts w:ascii="Open Sans" w:cs="Open Sans" w:eastAsia="Open Sans" w:hAnsi="Open Sans"/>
                <w:sz w:val="22"/>
                <w:szCs w:val="22"/>
                <w:rtl w:val="0"/>
              </w:rPr>
              <w:t xml:space="preserve">, estableciendo:</w:t>
            </w:r>
          </w:p>
          <w:p w:rsidR="00000000" w:rsidDel="00000000" w:rsidP="00000000" w:rsidRDefault="00000000" w:rsidRPr="00000000" w14:paraId="00000041">
            <w:pPr>
              <w:numPr>
                <w:ilvl w:val="0"/>
                <w:numId w:val="2"/>
              </w:numPr>
              <w:tabs>
                <w:tab w:val="center" w:leader="none" w:pos="4252"/>
                <w:tab w:val="right" w:leader="none" w:pos="8504"/>
              </w:tabs>
              <w:spacing w:after="0" w:before="240" w:lineRule="auto"/>
              <w:ind w:left="720" w:hanging="36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Puntos de acopio primarios y secundarios.</w:t>
            </w:r>
          </w:p>
          <w:p w:rsidR="00000000" w:rsidDel="00000000" w:rsidP="00000000" w:rsidRDefault="00000000" w:rsidRPr="00000000" w14:paraId="00000042">
            <w:pPr>
              <w:numPr>
                <w:ilvl w:val="0"/>
                <w:numId w:val="2"/>
              </w:numPr>
              <w:tabs>
                <w:tab w:val="center" w:leader="none" w:pos="4252"/>
                <w:tab w:val="right" w:leader="none" w:pos="8504"/>
              </w:tabs>
              <w:spacing w:after="0" w:before="0" w:lineRule="auto"/>
              <w:ind w:left="720" w:hanging="36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Diferenciación clara entre residuos peligrosos, biosanitarios, aprovechables y no aprovechables.</w:t>
            </w:r>
          </w:p>
          <w:p w:rsidR="00000000" w:rsidDel="00000000" w:rsidP="00000000" w:rsidRDefault="00000000" w:rsidRPr="00000000" w14:paraId="00000043">
            <w:pPr>
              <w:numPr>
                <w:ilvl w:val="0"/>
                <w:numId w:val="2"/>
              </w:numPr>
              <w:tabs>
                <w:tab w:val="center" w:leader="none" w:pos="4252"/>
                <w:tab w:val="right" w:leader="none" w:pos="8504"/>
              </w:tabs>
              <w:spacing w:after="240" w:before="0" w:lineRule="auto"/>
              <w:ind w:left="720" w:hanging="36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Cronograma de recolección y responsables por área.</w:t>
              <w:br w:type="textWrapping"/>
              <w:t xml:space="preserve"> Se recalcó la necesidad de capacitar al personal en estos ajustes para asegurar su correcta implementación.</w:t>
              <w:br w:type="textWrapping"/>
            </w:r>
          </w:p>
          <w:p w:rsidR="00000000" w:rsidDel="00000000" w:rsidP="00000000" w:rsidRDefault="00000000" w:rsidRPr="00000000" w14:paraId="00000044">
            <w:pPr>
              <w:tabs>
                <w:tab w:val="center" w:leader="none" w:pos="4252"/>
                <w:tab w:val="right" w:leader="none" w:pos="8504"/>
              </w:tabs>
              <w:spacing w:after="240" w:before="240" w:lineRule="auto"/>
              <w:ind w:firstLine="0"/>
              <w:jc w:val="both"/>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5. Capacitación en residuos y bioseguridad</w:t>
              <w:br w:type="textWrapping"/>
            </w:r>
            <w:r w:rsidDel="00000000" w:rsidR="00000000" w:rsidRPr="00000000">
              <w:rPr>
                <w:rFonts w:ascii="Open Sans" w:cs="Open Sans" w:eastAsia="Open Sans" w:hAnsi="Open Sans"/>
                <w:sz w:val="22"/>
                <w:szCs w:val="22"/>
                <w:rtl w:val="0"/>
              </w:rPr>
              <w:t xml:space="preserve">Durante la jornada, se llevó a cabo una capacitación dirigida al personal asistencial y administrativo sobre:</w:t>
            </w:r>
          </w:p>
          <w:p w:rsidR="00000000" w:rsidDel="00000000" w:rsidP="00000000" w:rsidRDefault="00000000" w:rsidRPr="00000000" w14:paraId="00000045">
            <w:pPr>
              <w:numPr>
                <w:ilvl w:val="0"/>
                <w:numId w:val="1"/>
              </w:numPr>
              <w:tabs>
                <w:tab w:val="center" w:leader="none" w:pos="4252"/>
                <w:tab w:val="right" w:leader="none" w:pos="8504"/>
              </w:tabs>
              <w:spacing w:after="0" w:before="240" w:lineRule="auto"/>
              <w:ind w:left="720" w:hanging="36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Clasificación correcta de residuos según código de colores y tipo.</w:t>
            </w:r>
          </w:p>
          <w:p w:rsidR="00000000" w:rsidDel="00000000" w:rsidP="00000000" w:rsidRDefault="00000000" w:rsidRPr="00000000" w14:paraId="00000046">
            <w:pPr>
              <w:numPr>
                <w:ilvl w:val="0"/>
                <w:numId w:val="1"/>
              </w:numPr>
              <w:tabs>
                <w:tab w:val="center" w:leader="none" w:pos="4252"/>
                <w:tab w:val="right" w:leader="none" w:pos="8504"/>
              </w:tabs>
              <w:spacing w:after="0" w:before="0" w:lineRule="auto"/>
              <w:ind w:left="720" w:hanging="36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Técnicas seguras de manipulación, almacenamiento y disposición.</w:t>
            </w:r>
          </w:p>
          <w:p w:rsidR="00000000" w:rsidDel="00000000" w:rsidP="00000000" w:rsidRDefault="00000000" w:rsidRPr="00000000" w14:paraId="00000047">
            <w:pPr>
              <w:numPr>
                <w:ilvl w:val="0"/>
                <w:numId w:val="1"/>
              </w:numPr>
              <w:tabs>
                <w:tab w:val="center" w:leader="none" w:pos="4252"/>
                <w:tab w:val="right" w:leader="none" w:pos="8504"/>
              </w:tabs>
              <w:spacing w:after="0" w:before="0" w:lineRule="auto"/>
              <w:ind w:left="720" w:hanging="36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Medidas básicas de bioseguridad aplicables en la atención en salud.</w:t>
            </w:r>
          </w:p>
          <w:p w:rsidR="00000000" w:rsidDel="00000000" w:rsidP="00000000" w:rsidRDefault="00000000" w:rsidRPr="00000000" w14:paraId="00000048">
            <w:pPr>
              <w:numPr>
                <w:ilvl w:val="0"/>
                <w:numId w:val="1"/>
              </w:numPr>
              <w:tabs>
                <w:tab w:val="center" w:leader="none" w:pos="4252"/>
                <w:tab w:val="right" w:leader="none" w:pos="8504"/>
              </w:tabs>
              <w:spacing w:after="240" w:before="0" w:lineRule="auto"/>
              <w:ind w:left="720" w:hanging="36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Responsabilidades individuales frente a la gestión segura de residuos. La actividad fue bien recibida por los asistentes, quienes participaron activamente y aclararon inquietudes relacionadas con sus funciones.</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80" w:before="280" w:line="240" w:lineRule="auto"/>
              <w:ind w:left="0" w:right="0" w:firstLine="0"/>
              <w:jc w:val="both"/>
              <w:rPr>
                <w:rFonts w:ascii="Open Sans" w:cs="Open Sans" w:eastAsia="Open Sans" w:hAnsi="Open Sans"/>
                <w:b w:val="1"/>
                <w:i w:val="0"/>
                <w:smallCaps w:val="0"/>
                <w:strike w:val="0"/>
                <w:color w:val="000000"/>
                <w:sz w:val="22"/>
                <w:szCs w:val="22"/>
                <w:u w:val="none"/>
                <w:shd w:fill="auto" w:val="clear"/>
                <w:vertAlign w:val="baseline"/>
              </w:rPr>
            </w:pPr>
            <w:bookmarkStart w:colFirst="0" w:colLast="0" w:name="_heading=h.ectbq0p0fo2z" w:id="1"/>
            <w:bookmarkEnd w:id="1"/>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COMPROMISOS PARA LA PRÓXIMA REUNIÓN</w:t>
            </w:r>
          </w:p>
          <w:p w:rsidR="00000000" w:rsidDel="00000000" w:rsidP="00000000" w:rsidRDefault="00000000" w:rsidRPr="00000000" w14:paraId="0000004A">
            <w:pPr>
              <w:numPr>
                <w:ilvl w:val="0"/>
                <w:numId w:val="7"/>
              </w:numPr>
              <w:tabs>
                <w:tab w:val="center" w:leader="none" w:pos="4252"/>
                <w:tab w:val="right" w:leader="none" w:pos="8504"/>
              </w:tabs>
              <w:spacing w:after="0" w:before="240" w:lineRule="auto"/>
              <w:ind w:left="720" w:hanging="36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Finalizar la actualización de los protocolos ambientales restantes.</w:t>
            </w:r>
          </w:p>
          <w:p w:rsidR="00000000" w:rsidDel="00000000" w:rsidP="00000000" w:rsidRDefault="00000000" w:rsidRPr="00000000" w14:paraId="0000004B">
            <w:pPr>
              <w:numPr>
                <w:ilvl w:val="0"/>
                <w:numId w:val="7"/>
              </w:numPr>
              <w:tabs>
                <w:tab w:val="center" w:leader="none" w:pos="4252"/>
                <w:tab w:val="right" w:leader="none" w:pos="8504"/>
              </w:tabs>
              <w:spacing w:after="240" w:before="0" w:lineRule="auto"/>
              <w:ind w:left="720" w:hanging="36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Verificar la correcta implementación de la nueva ruta de residuos mediante visita interna por áreas.</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80" w:before="280" w:line="240" w:lineRule="auto"/>
              <w:ind w:left="0" w:right="0" w:hanging="2"/>
              <w:jc w:val="both"/>
              <w:rPr>
                <w:rFonts w:ascii="Open Sans" w:cs="Open Sans" w:eastAsia="Open Sans" w:hAnsi="Open Sans"/>
                <w:b w:val="1"/>
                <w:i w:val="0"/>
                <w:smallCaps w:val="0"/>
                <w:strike w:val="0"/>
                <w:color w:val="000000"/>
                <w:sz w:val="22"/>
                <w:szCs w:val="22"/>
                <w:u w:val="none"/>
                <w:shd w:fill="auto" w:val="clear"/>
                <w:vertAlign w:val="baseline"/>
              </w:rPr>
            </w:pPr>
            <w:bookmarkStart w:colFirst="0" w:colLast="0" w:name="_heading=h.ar3l2946mpqr" w:id="2"/>
            <w:bookmarkEnd w:id="2"/>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CIERRE DE LA REUNIÓN</w:t>
            </w:r>
          </w:p>
          <w:p w:rsidR="00000000" w:rsidDel="00000000" w:rsidP="00000000" w:rsidRDefault="00000000" w:rsidRPr="00000000" w14:paraId="0000004D">
            <w:pPr>
              <w:tabs>
                <w:tab w:val="center" w:leader="none" w:pos="4252"/>
                <w:tab w:val="right" w:leader="none" w:pos="8504"/>
              </w:tabs>
              <w:spacing w:after="240" w:before="240" w:lineRule="auto"/>
              <w:ind w:left="0" w:hanging="2"/>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El comité cierra la sesión reiterando el compromiso institucional con la sostenibilidad ambiental y el cumplimiento normativo. Se destaca la importancia de la participación activa de cada integrante y se acuerda convocar la próxima reunión en el mes de octubre, con el fin de revisar avances y dar continuidad al plan de acción establecido.</w:t>
            </w:r>
          </w:p>
        </w:tc>
      </w:tr>
    </w:tbl>
    <w:p w:rsidR="00000000" w:rsidDel="00000000" w:rsidP="00000000" w:rsidRDefault="00000000" w:rsidRPr="00000000" w14:paraId="0000004E">
      <w:pPr>
        <w:ind w:hanging="2"/>
        <w:jc w:val="both"/>
        <w:rPr>
          <w:rFonts w:ascii="Open Sans" w:cs="Open Sans" w:eastAsia="Open Sans" w:hAnsi="Open Sans"/>
          <w:sz w:val="22"/>
          <w:szCs w:val="22"/>
        </w:rPr>
      </w:pPr>
      <w:r w:rsidDel="00000000" w:rsidR="00000000" w:rsidRPr="00000000">
        <w:rPr>
          <w:rtl w:val="0"/>
        </w:rPr>
      </w:r>
    </w:p>
    <w:sdt>
      <w:sdtPr>
        <w:lock w:val="contentLocked"/>
        <w:id w:val="1605121011"/>
        <w:tag w:val="goog_rdk_0"/>
      </w:sdtPr>
      <w:sdtContent>
        <w:tbl>
          <w:tblPr>
            <w:tblStyle w:val="Table6"/>
            <w:tblW w:w="9690.0" w:type="dxa"/>
            <w:jc w:val="left"/>
            <w:tblInd w:w="-6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85"/>
            <w:gridCol w:w="2295"/>
            <w:gridCol w:w="2310"/>
            <w:tblGridChange w:id="0">
              <w:tblGrid>
                <w:gridCol w:w="5085"/>
                <w:gridCol w:w="2295"/>
                <w:gridCol w:w="2310"/>
              </w:tblGrid>
            </w:tblGridChange>
          </w:tblGrid>
          <w:tr>
            <w:trPr>
              <w:cantSplit w:val="0"/>
              <w:trHeight w:val="472" w:hRule="atLeast"/>
              <w:tblHeader w:val="0"/>
            </w:trPr>
            <w:tc>
              <w:tcPr>
                <w:vAlign w:val="center"/>
              </w:tcPr>
              <w:p w:rsidR="00000000" w:rsidDel="00000000" w:rsidP="00000000" w:rsidRDefault="00000000" w:rsidRPr="00000000" w14:paraId="0000004F">
                <w:pPr>
                  <w:spacing w:after="40" w:before="40" w:lineRule="auto"/>
                  <w:ind w:hanging="2"/>
                  <w:jc w:val="center"/>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COMPROMISOS PRÓXIMA ACTA</w:t>
                </w:r>
                <w:r w:rsidDel="00000000" w:rsidR="00000000" w:rsidRPr="00000000">
                  <w:rPr>
                    <w:rtl w:val="0"/>
                  </w:rPr>
                </w:r>
              </w:p>
            </w:tc>
            <w:tc>
              <w:tcPr>
                <w:vAlign w:val="center"/>
              </w:tcPr>
              <w:p w:rsidR="00000000" w:rsidDel="00000000" w:rsidP="00000000" w:rsidRDefault="00000000" w:rsidRPr="00000000" w14:paraId="00000050">
                <w:pPr>
                  <w:spacing w:after="40" w:before="40" w:lineRule="auto"/>
                  <w:ind w:hanging="2"/>
                  <w:jc w:val="center"/>
                  <w:rPr>
                    <w:rFonts w:ascii="Open Sans" w:cs="Open Sans" w:eastAsia="Open Sans" w:hAnsi="Open Sans"/>
                    <w:sz w:val="20"/>
                    <w:szCs w:val="20"/>
                  </w:rPr>
                </w:pPr>
                <w:r w:rsidDel="00000000" w:rsidR="00000000" w:rsidRPr="00000000">
                  <w:rPr>
                    <w:rFonts w:ascii="Open Sans" w:cs="Open Sans" w:eastAsia="Open Sans" w:hAnsi="Open Sans"/>
                    <w:b w:val="1"/>
                    <w:sz w:val="20"/>
                    <w:szCs w:val="20"/>
                    <w:rtl w:val="0"/>
                  </w:rPr>
                  <w:t xml:space="preserve">ENCARGADO</w:t>
                </w:r>
                <w:r w:rsidDel="00000000" w:rsidR="00000000" w:rsidRPr="00000000">
                  <w:rPr>
                    <w:rtl w:val="0"/>
                  </w:rPr>
                </w:r>
              </w:p>
            </w:tc>
            <w:tc>
              <w:tcPr>
                <w:vAlign w:val="center"/>
              </w:tcPr>
              <w:p w:rsidR="00000000" w:rsidDel="00000000" w:rsidP="00000000" w:rsidRDefault="00000000" w:rsidRPr="00000000" w14:paraId="00000051">
                <w:pPr>
                  <w:spacing w:after="40" w:before="40" w:lineRule="auto"/>
                  <w:ind w:hanging="2"/>
                  <w:jc w:val="center"/>
                  <w:rPr>
                    <w:rFonts w:ascii="Open Sans" w:cs="Open Sans" w:eastAsia="Open Sans" w:hAnsi="Open Sans"/>
                    <w:sz w:val="20"/>
                    <w:szCs w:val="20"/>
                  </w:rPr>
                </w:pPr>
                <w:r w:rsidDel="00000000" w:rsidR="00000000" w:rsidRPr="00000000">
                  <w:rPr>
                    <w:rFonts w:ascii="Open Sans" w:cs="Open Sans" w:eastAsia="Open Sans" w:hAnsi="Open Sans"/>
                    <w:b w:val="1"/>
                    <w:sz w:val="20"/>
                    <w:szCs w:val="20"/>
                    <w:rtl w:val="0"/>
                  </w:rPr>
                  <w:t xml:space="preserve">FECHA DE ENTREGA</w:t>
                </w:r>
                <w:r w:rsidDel="00000000" w:rsidR="00000000" w:rsidRPr="00000000">
                  <w:rPr>
                    <w:rtl w:val="0"/>
                  </w:rPr>
                </w:r>
              </w:p>
            </w:tc>
          </w:tr>
          <w:tr>
            <w:trPr>
              <w:cantSplit w:val="0"/>
              <w:trHeight w:val="509" w:hRule="atLeast"/>
              <w:tblHeader w:val="0"/>
            </w:trPr>
            <w:tc>
              <w:tcPr>
                <w:vAlign w:val="center"/>
              </w:tcPr>
              <w:p w:rsidR="00000000" w:rsidDel="00000000" w:rsidP="00000000" w:rsidRDefault="00000000" w:rsidRPr="00000000" w14:paraId="00000052">
                <w:pPr>
                  <w:numPr>
                    <w:ilvl w:val="0"/>
                    <w:numId w:val="5"/>
                  </w:numPr>
                  <w:tabs>
                    <w:tab w:val="center" w:leader="none" w:pos="4252"/>
                    <w:tab w:val="right" w:leader="none" w:pos="8504"/>
                  </w:tabs>
                  <w:spacing w:before="0" w:lineRule="auto"/>
                  <w:ind w:left="720" w:hanging="36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Finalizar la actualización de los protocolos ambientales restantes</w:t>
                </w:r>
              </w:p>
            </w:tc>
            <w:tc>
              <w:tcPr>
                <w:vAlign w:val="center"/>
              </w:tcPr>
              <w:p w:rsidR="00000000" w:rsidDel="00000000" w:rsidP="00000000" w:rsidRDefault="00000000" w:rsidRPr="00000000" w14:paraId="00000053">
                <w:pPr>
                  <w:spacing w:after="40" w:before="40" w:lineRule="auto"/>
                  <w:ind w:hanging="2"/>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Lider de Calidad</w:t>
                </w:r>
              </w:p>
            </w:tc>
            <w:tc>
              <w:tcPr>
                <w:vAlign w:val="center"/>
              </w:tcPr>
              <w:p w:rsidR="00000000" w:rsidDel="00000000" w:rsidP="00000000" w:rsidRDefault="00000000" w:rsidRPr="00000000" w14:paraId="00000054">
                <w:pPr>
                  <w:spacing w:after="40" w:before="40" w:lineRule="auto"/>
                  <w:ind w:hanging="2"/>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Octubre de 2025.</w:t>
                </w:r>
              </w:p>
            </w:tc>
          </w:tr>
        </w:tbl>
      </w:sdtContent>
    </w:sdt>
    <w:p w:rsidR="00000000" w:rsidDel="00000000" w:rsidP="00000000" w:rsidRDefault="00000000" w:rsidRPr="00000000" w14:paraId="00000055">
      <w:pPr>
        <w:ind w:hanging="2"/>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56">
      <w:pPr>
        <w:spacing w:after="200" w:line="276" w:lineRule="auto"/>
        <w:ind w:firstLine="0"/>
        <w:rPr>
          <w:rFonts w:ascii="Arial" w:cs="Arial" w:eastAsia="Arial" w:hAnsi="Arial"/>
        </w:rPr>
      </w:pPr>
      <w:r w:rsidDel="00000000" w:rsidR="00000000" w:rsidRPr="00000000">
        <w:rPr>
          <w:rtl w:val="0"/>
        </w:rPr>
      </w:r>
    </w:p>
    <w:sdt>
      <w:sdtPr>
        <w:lock w:val="contentLocked"/>
        <w:id w:val="609952360"/>
        <w:tag w:val="goog_rdk_1"/>
      </w:sdtPr>
      <w:sdtContent>
        <w:tbl>
          <w:tblPr>
            <w:tblStyle w:val="Table7"/>
            <w:tblW w:w="9510.0" w:type="dxa"/>
            <w:jc w:val="left"/>
            <w:tblInd w:w="-6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3510"/>
            <w:gridCol w:w="3240"/>
            <w:tblGridChange w:id="0">
              <w:tblGrid>
                <w:gridCol w:w="2760"/>
                <w:gridCol w:w="3510"/>
                <w:gridCol w:w="3240"/>
              </w:tblGrid>
            </w:tblGridChange>
          </w:tblGrid>
          <w:tr>
            <w:trPr>
              <w:cantSplit w:val="0"/>
              <w:tblHeader w:val="0"/>
            </w:trPr>
            <w:tc>
              <w:tcPr>
                <w:gridSpan w:val="3"/>
                <w:shd w:fill="d9d9d9" w:val="clear"/>
                <w:vAlign w:val="center"/>
              </w:tcPr>
              <w:p w:rsidR="00000000" w:rsidDel="00000000" w:rsidP="00000000" w:rsidRDefault="00000000" w:rsidRPr="00000000" w14:paraId="00000057">
                <w:pPr>
                  <w:ind w:left="851" w:hanging="851"/>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PARTICIPANTES</w:t>
                </w:r>
              </w:p>
            </w:tc>
          </w:tr>
          <w:tr>
            <w:trPr>
              <w:cantSplit w:val="0"/>
              <w:trHeight w:val="375" w:hRule="atLeast"/>
              <w:tblHeader w:val="0"/>
            </w:trPr>
            <w:tc>
              <w:tcPr>
                <w:shd w:fill="d9d9d9" w:val="clear"/>
                <w:vAlign w:val="center"/>
              </w:tcPr>
              <w:p w:rsidR="00000000" w:rsidDel="00000000" w:rsidP="00000000" w:rsidRDefault="00000000" w:rsidRPr="00000000" w14:paraId="0000005A">
                <w:pPr>
                  <w:ind w:left="851" w:hanging="851"/>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Nombre</w:t>
                </w:r>
              </w:p>
            </w:tc>
            <w:tc>
              <w:tcPr>
                <w:shd w:fill="d9d9d9" w:val="clear"/>
                <w:vAlign w:val="center"/>
              </w:tcPr>
              <w:p w:rsidR="00000000" w:rsidDel="00000000" w:rsidP="00000000" w:rsidRDefault="00000000" w:rsidRPr="00000000" w14:paraId="0000005B">
                <w:pPr>
                  <w:ind w:left="851" w:hanging="851"/>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Cargo</w:t>
                </w:r>
              </w:p>
            </w:tc>
            <w:tc>
              <w:tcPr>
                <w:shd w:fill="d9d9d9" w:val="clear"/>
                <w:vAlign w:val="center"/>
              </w:tcPr>
              <w:p w:rsidR="00000000" w:rsidDel="00000000" w:rsidP="00000000" w:rsidRDefault="00000000" w:rsidRPr="00000000" w14:paraId="0000005C">
                <w:pPr>
                  <w:ind w:firstLine="34"/>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Firma</w:t>
                </w:r>
              </w:p>
            </w:tc>
          </w:tr>
          <w:tr>
            <w:trPr>
              <w:cantSplit w:val="0"/>
              <w:trHeight w:val="698.1103515625001" w:hRule="atLeast"/>
              <w:tblHeader w:val="0"/>
            </w:trPr>
            <w:tc>
              <w:tcPr>
                <w:shd w:fill="ffffff" w:val="clear"/>
                <w:vAlign w:val="center"/>
              </w:tcPr>
              <w:p w:rsidR="00000000" w:rsidDel="00000000" w:rsidP="00000000" w:rsidRDefault="00000000" w:rsidRPr="00000000" w14:paraId="0000005D">
                <w:pPr>
                  <w:spacing w:before="240" w:line="360"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Carlos Javier Vizcaino</w:t>
                </w:r>
              </w:p>
            </w:tc>
            <w:tc>
              <w:tcPr>
                <w:shd w:fill="ffffff" w:val="clear"/>
                <w:vAlign w:val="center"/>
              </w:tcPr>
              <w:p w:rsidR="00000000" w:rsidDel="00000000" w:rsidP="00000000" w:rsidRDefault="00000000" w:rsidRPr="00000000" w14:paraId="0000005E">
                <w:pPr>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Gerente</w:t>
                </w:r>
              </w:p>
            </w:tc>
            <w:tc>
              <w:tcPr>
                <w:shd w:fill="ffffff" w:val="clear"/>
                <w:vAlign w:val="center"/>
              </w:tcPr>
              <w:p w:rsidR="00000000" w:rsidDel="00000000" w:rsidP="00000000" w:rsidRDefault="00000000" w:rsidRPr="00000000" w14:paraId="0000005F">
                <w:pPr>
                  <w:spacing w:line="360"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1117517" cy="368412"/>
                      <wp:effectExtent b="0" l="0" r="0" t="0"/>
                      <wp:docPr id="109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117517" cy="368412"/>
                              </a:xfrm>
                              <a:prstGeom prst="rect"/>
                              <a:ln/>
                            </pic:spPr>
                          </pic:pic>
                        </a:graphicData>
                      </a:graphic>
                    </wp:inline>
                  </w:drawing>
                </w:r>
                <w:r w:rsidDel="00000000" w:rsidR="00000000" w:rsidRPr="00000000">
                  <w:rPr>
                    <w:rtl w:val="0"/>
                  </w:rPr>
                </w:r>
              </w:p>
            </w:tc>
          </w:tr>
          <w:tr>
            <w:trPr>
              <w:cantSplit w:val="0"/>
              <w:trHeight w:val="690" w:hRule="atLeast"/>
              <w:tblHeader w:val="0"/>
            </w:trPr>
            <w:tc>
              <w:tcPr>
                <w:shd w:fill="ffffff" w:val="clear"/>
                <w:vAlign w:val="center"/>
              </w:tcPr>
              <w:p w:rsidR="00000000" w:rsidDel="00000000" w:rsidP="00000000" w:rsidRDefault="00000000" w:rsidRPr="00000000" w14:paraId="00000060">
                <w:pPr>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Melanie Veloza</w:t>
                </w:r>
              </w:p>
            </w:tc>
            <w:tc>
              <w:tcPr>
                <w:shd w:fill="ffffff" w:val="clear"/>
                <w:vAlign w:val="center"/>
              </w:tcPr>
              <w:p w:rsidR="00000000" w:rsidDel="00000000" w:rsidP="00000000" w:rsidRDefault="00000000" w:rsidRPr="00000000" w14:paraId="00000061">
                <w:pPr>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Auxiliar Administrativa</w:t>
                </w:r>
              </w:p>
            </w:tc>
            <w:tc>
              <w:tcPr>
                <w:shd w:fill="ffffff" w:val="clear"/>
                <w:vAlign w:val="center"/>
              </w:tcPr>
              <w:p w:rsidR="00000000" w:rsidDel="00000000" w:rsidP="00000000" w:rsidRDefault="00000000" w:rsidRPr="00000000" w14:paraId="00000062">
                <w:pPr>
                  <w:ind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1332548" cy="352356"/>
                      <wp:effectExtent b="0" l="0" r="0" t="0"/>
                      <wp:docPr id="1090"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1332548" cy="352356"/>
                              </a:xfrm>
                              <a:prstGeom prst="rect"/>
                              <a:ln/>
                            </pic:spPr>
                          </pic:pic>
                        </a:graphicData>
                      </a:graphic>
                    </wp:inline>
                  </w:drawing>
                </w:r>
                <w:r w:rsidDel="00000000" w:rsidR="00000000" w:rsidRPr="00000000">
                  <w:rPr>
                    <w:rtl w:val="0"/>
                  </w:rPr>
                </w:r>
              </w:p>
            </w:tc>
          </w:tr>
          <w:tr>
            <w:trPr>
              <w:cantSplit w:val="0"/>
              <w:trHeight w:val="645" w:hRule="atLeast"/>
              <w:tblHeader w:val="0"/>
            </w:trPr>
            <w:tc>
              <w:tcPr>
                <w:shd w:fill="ffffff" w:val="clear"/>
                <w:vAlign w:val="center"/>
              </w:tcPr>
              <w:p w:rsidR="00000000" w:rsidDel="00000000" w:rsidP="00000000" w:rsidRDefault="00000000" w:rsidRPr="00000000" w14:paraId="00000063">
                <w:pPr>
                  <w:ind w:right="180.35433070866134"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Kelly Dayana Canacue</w:t>
                </w:r>
              </w:p>
            </w:tc>
            <w:tc>
              <w:tcPr>
                <w:shd w:fill="ffffff" w:val="clear"/>
                <w:vAlign w:val="center"/>
              </w:tcPr>
              <w:p w:rsidR="00000000" w:rsidDel="00000000" w:rsidP="00000000" w:rsidRDefault="00000000" w:rsidRPr="00000000" w14:paraId="00000064">
                <w:pPr>
                  <w:spacing w:after="240"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Profesional Calidad</w:t>
                </w:r>
              </w:p>
            </w:tc>
            <w:tc>
              <w:tcPr>
                <w:shd w:fill="ffffff" w:val="clear"/>
                <w:vAlign w:val="center"/>
              </w:tcPr>
              <w:p w:rsidR="00000000" w:rsidDel="00000000" w:rsidP="00000000" w:rsidRDefault="00000000" w:rsidRPr="00000000" w14:paraId="00000065">
                <w:pPr>
                  <w:ind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1019175" cy="444500"/>
                      <wp:effectExtent b="0" l="0" r="0" t="0"/>
                      <wp:docPr id="109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019175" cy="444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66">
      <w:pPr>
        <w:spacing w:after="200" w:line="276" w:lineRule="auto"/>
        <w:ind w:firstLine="0"/>
        <w:rPr>
          <w:rFonts w:ascii="Century Gothic" w:cs="Century Gothic" w:eastAsia="Century Gothic" w:hAnsi="Century Gothic"/>
          <w:sz w:val="22"/>
          <w:szCs w:val="22"/>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5842" w:w="12242" w:orient="portrait"/>
      <w:pgMar w:bottom="1276" w:top="1334" w:left="1985" w:right="902" w:header="709" w:footer="2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 w:name="Times New Roman"/>
  <w:font w:name="Calibri"/>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widowControl w:val="0"/>
      <w:spacing w:line="276" w:lineRule="auto"/>
      <w:ind w:firstLine="0"/>
      <w:rPr>
        <w:rFonts w:ascii="Calibri" w:cs="Calibri" w:eastAsia="Calibri" w:hAnsi="Calibri"/>
      </w:rPr>
    </w:pPr>
    <w:r w:rsidDel="00000000" w:rsidR="00000000" w:rsidRPr="00000000">
      <w:rPr>
        <w:rtl w:val="0"/>
      </w:rPr>
    </w:r>
  </w:p>
  <w:sdt>
    <w:sdtPr>
      <w:lock w:val="contentLocked"/>
      <w:id w:val="1219923315"/>
      <w:tag w:val="goog_rdk_2"/>
    </w:sdtPr>
    <w:sdtContent>
      <w:tbl>
        <w:tblPr>
          <w:tblStyle w:val="Table9"/>
          <w:tblW w:w="9420.0" w:type="dxa"/>
          <w:jc w:val="left"/>
          <w:tblInd w:w="-57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3495"/>
          <w:gridCol w:w="3045"/>
          <w:tblGridChange w:id="0">
            <w:tblGrid>
              <w:gridCol w:w="2880"/>
              <w:gridCol w:w="3495"/>
              <w:gridCol w:w="3045"/>
            </w:tblGrid>
          </w:tblGridChange>
        </w:tblGrid>
        <w:tr>
          <w:trPr>
            <w:cantSplit w:val="0"/>
            <w:tblHeader w:val="0"/>
          </w:trPr>
          <w:tc>
            <w:tcPr>
              <w:shd w:fill="auto" w:val="clear"/>
            </w:tcPr>
            <w:p w:rsidR="00000000" w:rsidDel="00000000" w:rsidP="00000000" w:rsidRDefault="00000000" w:rsidRPr="00000000" w14:paraId="00000074">
              <w:pPr>
                <w:tabs>
                  <w:tab w:val="center" w:leader="none" w:pos="4419"/>
                  <w:tab w:val="right" w:leader="none" w:pos="8838"/>
                </w:tabs>
                <w:ind w:right="73.46456692913421" w:firstLine="0"/>
                <w:jc w:val="center"/>
                <w:rPr>
                  <w:rFonts w:ascii="Century Gothic" w:cs="Century Gothic" w:eastAsia="Century Gothic" w:hAnsi="Century Gothic"/>
                  <w:b w:val="1"/>
                  <w:sz w:val="20"/>
                  <w:szCs w:val="20"/>
                </w:rPr>
              </w:pPr>
              <w:r w:rsidDel="00000000" w:rsidR="00000000" w:rsidRPr="00000000">
                <w:rPr>
                  <w:rFonts w:ascii="Century Gothic" w:cs="Century Gothic" w:eastAsia="Century Gothic" w:hAnsi="Century Gothic"/>
                  <w:b w:val="1"/>
                  <w:sz w:val="20"/>
                  <w:szCs w:val="20"/>
                  <w:rtl w:val="0"/>
                </w:rPr>
                <w:t xml:space="preserve">ELABORADO POR</w:t>
              </w:r>
            </w:p>
          </w:tc>
          <w:tc>
            <w:tcPr>
              <w:shd w:fill="auto" w:val="clear"/>
            </w:tcPr>
            <w:p w:rsidR="00000000" w:rsidDel="00000000" w:rsidP="00000000" w:rsidRDefault="00000000" w:rsidRPr="00000000" w14:paraId="00000075">
              <w:pPr>
                <w:tabs>
                  <w:tab w:val="center" w:leader="none" w:pos="4419"/>
                  <w:tab w:val="right" w:leader="none" w:pos="8838"/>
                </w:tabs>
                <w:ind w:right="90.35433070866134" w:firstLine="0"/>
                <w:jc w:val="center"/>
                <w:rPr>
                  <w:rFonts w:ascii="Century Gothic" w:cs="Century Gothic" w:eastAsia="Century Gothic" w:hAnsi="Century Gothic"/>
                  <w:b w:val="1"/>
                  <w:sz w:val="20"/>
                  <w:szCs w:val="20"/>
                </w:rPr>
              </w:pPr>
              <w:r w:rsidDel="00000000" w:rsidR="00000000" w:rsidRPr="00000000">
                <w:rPr>
                  <w:rFonts w:ascii="Century Gothic" w:cs="Century Gothic" w:eastAsia="Century Gothic" w:hAnsi="Century Gothic"/>
                  <w:b w:val="1"/>
                  <w:sz w:val="20"/>
                  <w:szCs w:val="20"/>
                  <w:rtl w:val="0"/>
                </w:rPr>
                <w:t xml:space="preserve">REVISADO POR</w:t>
              </w:r>
            </w:p>
          </w:tc>
          <w:tc>
            <w:tcPr>
              <w:shd w:fill="auto" w:val="clear"/>
            </w:tcPr>
            <w:p w:rsidR="00000000" w:rsidDel="00000000" w:rsidP="00000000" w:rsidRDefault="00000000" w:rsidRPr="00000000" w14:paraId="00000076">
              <w:pPr>
                <w:tabs>
                  <w:tab w:val="center" w:leader="none" w:pos="4419"/>
                  <w:tab w:val="right" w:leader="none" w:pos="8838"/>
                </w:tabs>
                <w:ind w:right="45.35433070866134" w:firstLine="0"/>
                <w:jc w:val="center"/>
                <w:rPr>
                  <w:rFonts w:ascii="Century Gothic" w:cs="Century Gothic" w:eastAsia="Century Gothic" w:hAnsi="Century Gothic"/>
                  <w:b w:val="1"/>
                  <w:sz w:val="20"/>
                  <w:szCs w:val="20"/>
                </w:rPr>
              </w:pPr>
              <w:r w:rsidDel="00000000" w:rsidR="00000000" w:rsidRPr="00000000">
                <w:rPr>
                  <w:rFonts w:ascii="Century Gothic" w:cs="Century Gothic" w:eastAsia="Century Gothic" w:hAnsi="Century Gothic"/>
                  <w:b w:val="1"/>
                  <w:sz w:val="20"/>
                  <w:szCs w:val="20"/>
                  <w:rtl w:val="0"/>
                </w:rPr>
                <w:t xml:space="preserve">APROBADO POR</w:t>
              </w:r>
            </w:p>
          </w:tc>
        </w:tr>
        <w:tr>
          <w:trPr>
            <w:cantSplit w:val="0"/>
            <w:tblHeader w:val="0"/>
          </w:trPr>
          <w:tc>
            <w:tcPr>
              <w:shd w:fill="auto" w:val="clear"/>
            </w:tcPr>
            <w:p w:rsidR="00000000" w:rsidDel="00000000" w:rsidP="00000000" w:rsidRDefault="00000000" w:rsidRPr="00000000" w14:paraId="00000077">
              <w:pPr>
                <w:tabs>
                  <w:tab w:val="center" w:leader="none" w:pos="4419"/>
                  <w:tab w:val="right" w:leader="none" w:pos="8838"/>
                </w:tabs>
                <w:ind w:right="73.46456692913421"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Kelly Dayana Canacue</w:t>
              </w:r>
            </w:p>
          </w:tc>
          <w:tc>
            <w:tcPr>
              <w:shd w:fill="auto" w:val="clear"/>
            </w:tcPr>
            <w:p w:rsidR="00000000" w:rsidDel="00000000" w:rsidP="00000000" w:rsidRDefault="00000000" w:rsidRPr="00000000" w14:paraId="00000078">
              <w:pPr>
                <w:tabs>
                  <w:tab w:val="center" w:leader="none" w:pos="4419"/>
                  <w:tab w:val="right" w:leader="none" w:pos="8838"/>
                </w:tabs>
                <w:ind w:right="90.35433070866134"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Kelly Dayana Canacue</w:t>
              </w:r>
            </w:p>
          </w:tc>
          <w:tc>
            <w:tcPr>
              <w:shd w:fill="auto" w:val="clear"/>
            </w:tcPr>
            <w:p w:rsidR="00000000" w:rsidDel="00000000" w:rsidP="00000000" w:rsidRDefault="00000000" w:rsidRPr="00000000" w14:paraId="00000079">
              <w:pPr>
                <w:tabs>
                  <w:tab w:val="center" w:leader="none" w:pos="4419"/>
                  <w:tab w:val="right" w:leader="none" w:pos="8838"/>
                </w:tabs>
                <w:ind w:right="45.35433070866134"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Carlos Javier Vizcaino</w:t>
              </w:r>
            </w:p>
          </w:tc>
        </w:tr>
        <w:tr>
          <w:trPr>
            <w:cantSplit w:val="0"/>
            <w:tblHeader w:val="0"/>
          </w:trPr>
          <w:tc>
            <w:tcPr>
              <w:shd w:fill="auto" w:val="clear"/>
            </w:tcPr>
            <w:p w:rsidR="00000000" w:rsidDel="00000000" w:rsidP="00000000" w:rsidRDefault="00000000" w:rsidRPr="00000000" w14:paraId="0000007A">
              <w:pPr>
                <w:tabs>
                  <w:tab w:val="center" w:leader="none" w:pos="4419"/>
                  <w:tab w:val="right" w:leader="none" w:pos="8838"/>
                </w:tabs>
                <w:ind w:right="73.46456692913421"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Profesional Calidad</w:t>
              </w:r>
            </w:p>
          </w:tc>
          <w:tc>
            <w:tcPr>
              <w:shd w:fill="auto" w:val="clear"/>
            </w:tcPr>
            <w:p w:rsidR="00000000" w:rsidDel="00000000" w:rsidP="00000000" w:rsidRDefault="00000000" w:rsidRPr="00000000" w14:paraId="0000007B">
              <w:pPr>
                <w:tabs>
                  <w:tab w:val="center" w:leader="none" w:pos="4419"/>
                  <w:tab w:val="right" w:leader="none" w:pos="8838"/>
                </w:tabs>
                <w:ind w:right="90.35433070866134"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Profesional Calidad</w:t>
              </w:r>
            </w:p>
          </w:tc>
          <w:tc>
            <w:tcPr>
              <w:shd w:fill="auto" w:val="clear"/>
            </w:tcPr>
            <w:p w:rsidR="00000000" w:rsidDel="00000000" w:rsidP="00000000" w:rsidRDefault="00000000" w:rsidRPr="00000000" w14:paraId="0000007C">
              <w:pPr>
                <w:tabs>
                  <w:tab w:val="center" w:leader="none" w:pos="4419"/>
                  <w:tab w:val="right" w:leader="none" w:pos="8838"/>
                </w:tabs>
                <w:ind w:right="45.35433070866134"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Gerente</w:t>
              </w:r>
            </w:p>
          </w:tc>
        </w:tr>
      </w:tbl>
    </w:sdtContent>
  </w:sdt>
  <w:p w:rsidR="00000000" w:rsidDel="00000000" w:rsidP="00000000" w:rsidRDefault="00000000" w:rsidRPr="00000000" w14:paraId="0000007D">
    <w:pPr>
      <w:tabs>
        <w:tab w:val="center" w:leader="none" w:pos="4419"/>
        <w:tab w:val="right" w:leader="none" w:pos="8838"/>
      </w:tabs>
      <w:ind w:firstLine="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widowControl w:val="0"/>
      <w:ind w:hanging="2"/>
      <w:rPr>
        <w:rFonts w:ascii="Century Gothic" w:cs="Century Gothic" w:eastAsia="Century Gothic" w:hAnsi="Century Gothic"/>
        <w:sz w:val="10"/>
        <w:szCs w:val="10"/>
      </w:rPr>
    </w:pPr>
    <w:r w:rsidDel="00000000" w:rsidR="00000000" w:rsidRPr="00000000">
      <w:rPr>
        <w:rtl w:val="0"/>
      </w:rPr>
    </w:r>
  </w:p>
  <w:tbl>
    <w:tblPr>
      <w:tblStyle w:val="Table8"/>
      <w:tblW w:w="9585.0" w:type="dxa"/>
      <w:jc w:val="left"/>
      <w:tblInd w:w="-588.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710"/>
      <w:gridCol w:w="2475"/>
      <w:tblGridChange w:id="0">
        <w:tblGrid>
          <w:gridCol w:w="2400"/>
          <w:gridCol w:w="4710"/>
          <w:gridCol w:w="2475"/>
        </w:tblGrid>
      </w:tblGridChange>
    </w:tblGrid>
    <w:tr>
      <w:trPr>
        <w:cantSplit w:val="0"/>
        <w:trHeight w:val="415"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068">
          <w:pPr>
            <w:tabs>
              <w:tab w:val="center" w:leader="none" w:pos="4252"/>
              <w:tab w:val="right" w:leader="none" w:pos="8504"/>
            </w:tabs>
            <w:ind w:firstLine="0"/>
            <w:rPr>
              <w:rFonts w:ascii="Arial" w:cs="Arial" w:eastAsia="Arial" w:hAnsi="Arial"/>
            </w:rPr>
          </w:pPr>
          <w:r w:rsidDel="00000000" w:rsidR="00000000" w:rsidRPr="00000000">
            <w:rPr>
              <w:rFonts w:ascii="Arial" w:cs="Arial" w:eastAsia="Arial" w:hAnsi="Arial"/>
            </w:rPr>
            <w:drawing>
              <wp:inline distB="0" distT="0" distL="114300" distR="114300">
                <wp:extent cx="1390650" cy="736600"/>
                <wp:effectExtent b="0" l="0" r="0" t="0"/>
                <wp:docPr id="1089" name="image2.png"/>
                <a:graphic>
                  <a:graphicData uri="http://schemas.openxmlformats.org/drawingml/2006/picture">
                    <pic:pic>
                      <pic:nvPicPr>
                        <pic:cNvPr id="0" name="image2.png"/>
                        <pic:cNvPicPr preferRelativeResize="0"/>
                      </pic:nvPicPr>
                      <pic:blipFill>
                        <a:blip r:embed="rId1"/>
                        <a:srcRect b="24536" l="13764" r="15575" t="23751"/>
                        <a:stretch>
                          <a:fillRect/>
                        </a:stretch>
                      </pic:blipFill>
                      <pic:spPr>
                        <a:xfrm>
                          <a:off x="0" y="0"/>
                          <a:ext cx="1390650" cy="736600"/>
                        </a:xfrm>
                        <a:prstGeom prst="rect"/>
                        <a:ln/>
                      </pic:spPr>
                    </pic:pic>
                  </a:graphicData>
                </a:graphic>
              </wp:inline>
            </w:drawing>
          </w: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69">
          <w:pPr>
            <w:tabs>
              <w:tab w:val="center" w:leader="none" w:pos="4252"/>
              <w:tab w:val="right" w:leader="none" w:pos="8504"/>
            </w:tabs>
            <w:ind w:hanging="2"/>
            <w:jc w:val="center"/>
            <w:rPr>
              <w:rFonts w:ascii="Arial" w:cs="Arial" w:eastAsia="Arial" w:hAnsi="Arial"/>
            </w:rPr>
          </w:pPr>
          <w:r w:rsidDel="00000000" w:rsidR="00000000" w:rsidRPr="00000000">
            <w:rPr>
              <w:rFonts w:ascii="Arial" w:cs="Arial" w:eastAsia="Arial" w:hAnsi="Arial"/>
              <w:b w:val="1"/>
              <w:rtl w:val="0"/>
            </w:rPr>
            <w:t xml:space="preserve">ACTA DE REUNIÓN, CAPACITACIONES Y OTRAS ACTIVIDADES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tabs>
              <w:tab w:val="center" w:leader="none" w:pos="4252"/>
              <w:tab w:val="right" w:leader="none" w:pos="8504"/>
            </w:tabs>
            <w:ind w:hanging="2"/>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6B">
          <w:pPr>
            <w:tabs>
              <w:tab w:val="center" w:leader="none" w:pos="4252"/>
              <w:tab w:val="right" w:leader="none" w:pos="8504"/>
            </w:tabs>
            <w:ind w:hanging="2"/>
            <w:jc w:val="center"/>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PROCESO</w:t>
          </w:r>
          <w:r w:rsidDel="00000000" w:rsidR="00000000" w:rsidRPr="00000000">
            <w:rPr>
              <w:rtl w:val="0"/>
            </w:rPr>
          </w:r>
        </w:p>
      </w:tc>
    </w:tr>
    <w:tr>
      <w:trPr>
        <w:cantSplit w:val="0"/>
        <w:trHeight w:val="600"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6C">
          <w:pPr>
            <w:widowControl w:val="0"/>
            <w:spacing w:line="276" w:lineRule="auto"/>
            <w:ind w:firstLine="0"/>
            <w:rPr>
              <w:rFonts w:ascii="Arial" w:cs="Arial" w:eastAsia="Arial" w:hAnsi="Arial"/>
              <w:sz w:val="16"/>
              <w:szCs w:val="16"/>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6D">
          <w:pPr>
            <w:widowControl w:val="0"/>
            <w:spacing w:line="276" w:lineRule="auto"/>
            <w:ind w:firstLine="0"/>
            <w:rPr>
              <w:rFonts w:ascii="Arial" w:cs="Arial" w:eastAsia="Arial" w:hAnsi="Arial"/>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tabs>
              <w:tab w:val="center" w:leader="none" w:pos="4252"/>
              <w:tab w:val="right" w:leader="none" w:pos="8504"/>
            </w:tabs>
            <w:ind w:hanging="2"/>
            <w:jc w:val="center"/>
            <w:rPr>
              <w:rFonts w:ascii="Arial" w:cs="Arial" w:eastAsia="Arial" w:hAnsi="Arial"/>
              <w:sz w:val="16"/>
              <w:szCs w:val="16"/>
            </w:rPr>
          </w:pPr>
          <w:r w:rsidDel="00000000" w:rsidR="00000000" w:rsidRPr="00000000">
            <w:rPr>
              <w:rFonts w:ascii="Arial" w:cs="Arial" w:eastAsia="Arial" w:hAnsi="Arial"/>
              <w:b w:val="1"/>
              <w:sz w:val="16"/>
              <w:szCs w:val="16"/>
              <w:rtl w:val="0"/>
            </w:rPr>
            <w:t xml:space="preserve">CÓDIGO:</w:t>
          </w:r>
          <w:r w:rsidDel="00000000" w:rsidR="00000000" w:rsidRPr="00000000">
            <w:rPr>
              <w:rtl w:val="0"/>
            </w:rPr>
          </w:r>
        </w:p>
        <w:p w:rsidR="00000000" w:rsidDel="00000000" w:rsidP="00000000" w:rsidRDefault="00000000" w:rsidRPr="00000000" w14:paraId="0000006F">
          <w:pPr>
            <w:tabs>
              <w:tab w:val="center" w:leader="none" w:pos="4252"/>
              <w:tab w:val="right" w:leader="none" w:pos="8504"/>
            </w:tabs>
            <w:ind w:hanging="2"/>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PP-FR-002</w:t>
          </w:r>
        </w:p>
      </w:tc>
    </w:tr>
  </w:tbl>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ind w:hanging="1"/>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TableNormal5" w:customStyle="1">
    <w:name w:val="Table Normal"/>
    <w:tblPr>
      <w:tblCellMar>
        <w:top w:w="0.0" w:type="dxa"/>
        <w:left w:w="0.0" w:type="dxa"/>
        <w:bottom w:w="0.0" w:type="dxa"/>
        <w:right w:w="0.0" w:type="dxa"/>
      </w:tblCellMar>
    </w:tblPr>
  </w:style>
  <w:style w:type="table" w:styleId="TableNormal6" w:customStyle="1">
    <w:name w:val="Table Normal"/>
    <w:tblPr>
      <w:tblCellMar>
        <w:top w:w="0.0" w:type="dxa"/>
        <w:left w:w="0.0" w:type="dxa"/>
        <w:bottom w:w="0.0" w:type="dxa"/>
        <w:right w:w="0.0" w:type="dxa"/>
      </w:tblCellMar>
    </w:tblPr>
  </w:style>
  <w:style w:type="table" w:styleId="TableNormal7" w:customStyle="1">
    <w:name w:val="Table Normal"/>
    <w:tblPr>
      <w:tblCellMar>
        <w:top w:w="0.0" w:type="dxa"/>
        <w:left w:w="0.0" w:type="dxa"/>
        <w:bottom w:w="0.0" w:type="dxa"/>
        <w:right w:w="0.0" w:type="dxa"/>
      </w:tblCellMar>
    </w:tblPr>
  </w:style>
  <w:style w:type="table" w:styleId="TableNormal8" w:customStyle="1">
    <w:name w:val="Table Normal"/>
    <w:tblPr>
      <w:tblCellMar>
        <w:top w:w="0.0" w:type="dxa"/>
        <w:left w:w="0.0" w:type="dxa"/>
        <w:bottom w:w="0.0" w:type="dxa"/>
        <w:right w:w="0.0" w:type="dxa"/>
      </w:tblCellMar>
    </w:tblPr>
  </w:style>
  <w:style w:type="table" w:styleId="TableNormal9" w:customStyle="1">
    <w:name w:val="Table Normal"/>
    <w:tblPr>
      <w:tblCellMar>
        <w:top w:w="0.0" w:type="dxa"/>
        <w:left w:w="0.0" w:type="dxa"/>
        <w:bottom w:w="0.0" w:type="dxa"/>
        <w:right w:w="0.0" w:type="dxa"/>
      </w:tblCellMar>
    </w:tblPr>
  </w:style>
  <w:style w:type="table" w:styleId="TableNormala" w:customStyle="1">
    <w:name w:val="Table Normal"/>
    <w:tblPr>
      <w:tblCellMar>
        <w:top w:w="0.0" w:type="dxa"/>
        <w:left w:w="0.0" w:type="dxa"/>
        <w:bottom w:w="0.0" w:type="dxa"/>
        <w:right w:w="0.0" w:type="dxa"/>
      </w:tblCellMar>
    </w:tblPr>
  </w:style>
  <w:style w:type="table" w:styleId="TableNormalb" w:customStyle="1">
    <w:name w:val="Table Normal"/>
    <w:tblPr>
      <w:tblCellMar>
        <w:top w:w="0.0" w:type="dxa"/>
        <w:left w:w="0.0" w:type="dxa"/>
        <w:bottom w:w="0.0" w:type="dxa"/>
        <w:right w:w="0.0" w:type="dxa"/>
      </w:tblCellMar>
    </w:tblPr>
  </w:style>
  <w:style w:type="table" w:styleId="TableNormalc" w:customStyle="1">
    <w:name w:val="Table Normal"/>
    <w:tblPr>
      <w:tblCellMar>
        <w:top w:w="0.0" w:type="dxa"/>
        <w:left w:w="0.0" w:type="dxa"/>
        <w:bottom w:w="0.0" w:type="dxa"/>
        <w:right w:w="0.0" w:type="dxa"/>
      </w:tblCellMar>
    </w:tblPr>
  </w:style>
  <w:style w:type="table" w:styleId="TableNormald" w:customStyle="1">
    <w:name w:val="Table Normal"/>
    <w:tblPr>
      <w:tblCellMar>
        <w:top w:w="0.0" w:type="dxa"/>
        <w:left w:w="0.0" w:type="dxa"/>
        <w:bottom w:w="0.0" w:type="dxa"/>
        <w:right w:w="0.0" w:type="dxa"/>
      </w:tblCellMar>
    </w:tblPr>
  </w:style>
  <w:style w:type="table" w:styleId="TableNormale" w:customStyle="1">
    <w:name w:val="Table Normal"/>
    <w:tblPr>
      <w:tblCellMar>
        <w:top w:w="0.0" w:type="dxa"/>
        <w:left w:w="0.0" w:type="dxa"/>
        <w:bottom w:w="0.0" w:type="dxa"/>
        <w:right w:w="0.0" w:type="dxa"/>
      </w:tblCellMar>
    </w:tbl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table" w:styleId="Tablaconcuadrcula">
    <w:name w:val="Table Grid"/>
    <w:basedOn w:val="Tablanormal"/>
    <w:pPr>
      <w:suppressAutoHyphens w:val="1"/>
      <w:spacing w:line="1" w:lineRule="atLeast"/>
      <w:ind w:left="-1" w:leftChars="-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independiente">
    <w:name w:val="Body Text"/>
    <w:basedOn w:val="Normal"/>
    <w:pPr>
      <w:suppressAutoHyphens w:val="0"/>
      <w:spacing w:after="120"/>
    </w:pPr>
    <w:rPr>
      <w:sz w:val="20"/>
      <w:szCs w:val="20"/>
    </w:rPr>
  </w:style>
  <w:style w:type="paragraph" w:styleId="Prrafodelista">
    <w:name w:val="List Paragraph"/>
    <w:basedOn w:val="Normal"/>
    <w:pPr>
      <w:ind w:left="708"/>
    </w:pPr>
  </w:style>
  <w:style w:type="character" w:styleId="EncabezadoCar" w:customStyle="1">
    <w:name w:val="Encabezado Car"/>
    <w:rPr>
      <w:w w:val="100"/>
      <w:position w:val="-1"/>
      <w:sz w:val="24"/>
      <w:szCs w:val="24"/>
      <w:effect w:val="none"/>
      <w:vertAlign w:val="baseline"/>
      <w:cs w:val="0"/>
      <w:em w:val="none"/>
      <w:lang w:eastAsia="es-ES" w:val="es-ES"/>
    </w:rPr>
  </w:style>
  <w:style w:type="character" w:styleId="PiedepginaCar" w:customStyle="1">
    <w:name w:val="Pie de página Car"/>
    <w:rPr>
      <w:w w:val="100"/>
      <w:position w:val="-1"/>
      <w:sz w:val="24"/>
      <w:szCs w:val="24"/>
      <w:effect w:val="none"/>
      <w:vertAlign w:val="baseline"/>
      <w:cs w:val="0"/>
      <w:em w:val="none"/>
      <w:lang w:eastAsia="es-ES" w:val="es-ES"/>
    </w:rPr>
  </w:style>
  <w:style w:type="table" w:styleId="a" w:customStyle="1">
    <w:basedOn w:val="TableNormale"/>
    <w:tblPr>
      <w:tblStyleRowBandSize w:val="1"/>
      <w:tblStyleColBandSize w:val="1"/>
      <w:tblCellMar>
        <w:left w:w="108.0" w:type="dxa"/>
        <w:right w:w="108.0" w:type="dxa"/>
      </w:tblCellMar>
    </w:tblPr>
  </w:style>
  <w:style w:type="table" w:styleId="a0" w:customStyle="1">
    <w:basedOn w:val="TableNormale"/>
    <w:tblPr>
      <w:tblStyleRowBandSize w:val="1"/>
      <w:tblStyleColBandSize w:val="1"/>
      <w:tblCellMar>
        <w:left w:w="108.0" w:type="dxa"/>
        <w:right w:w="108.0" w:type="dxa"/>
      </w:tblCellMar>
    </w:tblPr>
  </w:style>
  <w:style w:type="table" w:styleId="a1" w:customStyle="1">
    <w:basedOn w:val="TableNormale"/>
    <w:tblPr>
      <w:tblStyleRowBandSize w:val="1"/>
      <w:tblStyleColBandSize w:val="1"/>
      <w:tblCellMar>
        <w:left w:w="108.0" w:type="dxa"/>
        <w:right w:w="108.0" w:type="dxa"/>
      </w:tblCellMar>
    </w:tblPr>
  </w:style>
  <w:style w:type="table" w:styleId="a2" w:customStyle="1">
    <w:basedOn w:val="TableNormale"/>
    <w:tblPr>
      <w:tblStyleRowBandSize w:val="1"/>
      <w:tblStyleColBandSize w:val="1"/>
      <w:tblCellMar>
        <w:left w:w="108.0" w:type="dxa"/>
        <w:right w:w="108.0" w:type="dxa"/>
      </w:tblCellMar>
    </w:tblPr>
  </w:style>
  <w:style w:type="table" w:styleId="a3" w:customStyle="1">
    <w:basedOn w:val="TableNormale"/>
    <w:tblPr>
      <w:tblStyleRowBandSize w:val="1"/>
      <w:tblStyleColBandSize w:val="1"/>
      <w:tblCellMar>
        <w:left w:w="70.0" w:type="dxa"/>
        <w:right w:w="70.0" w:type="dxa"/>
      </w:tblCellMar>
    </w:tblPr>
  </w:style>
  <w:style w:type="table" w:styleId="a4" w:customStyle="1">
    <w:basedOn w:val="TableNormale"/>
    <w:tblPr>
      <w:tblStyleRowBandSize w:val="1"/>
      <w:tblStyleColBandSize w:val="1"/>
      <w:tblCellMar>
        <w:left w:w="70.0" w:type="dxa"/>
        <w:right w:w="70.0" w:type="dxa"/>
      </w:tblCellMar>
    </w:tblPr>
  </w:style>
  <w:style w:type="table" w:styleId="a5" w:customStyle="1">
    <w:basedOn w:val="TableNormale"/>
    <w:tblPr>
      <w:tblStyleRowBandSize w:val="1"/>
      <w:tblStyleColBandSize w:val="1"/>
      <w:tblCellMar>
        <w:left w:w="108.0" w:type="dxa"/>
        <w:right w:w="108.0" w:type="dxa"/>
      </w:tblCellMar>
    </w:tblPr>
  </w:style>
  <w:style w:type="table" w:styleId="a6" w:customStyle="1">
    <w:basedOn w:val="TableNormale"/>
    <w:tblPr>
      <w:tblStyleRowBandSize w:val="1"/>
      <w:tblStyleColBandSize w:val="1"/>
      <w:tblCellMar>
        <w:left w:w="70.0" w:type="dxa"/>
        <w:right w:w="70.0" w:type="dxa"/>
      </w:tblCellMar>
    </w:tblPr>
  </w:style>
  <w:style w:type="table" w:styleId="a7" w:customStyle="1">
    <w:basedOn w:val="TableNormale"/>
    <w:tblPr>
      <w:tblStyleRowBandSize w:val="1"/>
      <w:tblStyleColBandSize w:val="1"/>
      <w:tblCellMar>
        <w:left w:w="108.0" w:type="dxa"/>
        <w:right w:w="108.0" w:type="dxa"/>
      </w:tblCellMar>
    </w:tblPr>
  </w:style>
  <w:style w:type="table" w:styleId="a8" w:customStyle="1">
    <w:basedOn w:val="TableNormale"/>
    <w:tblPr>
      <w:tblStyleRowBandSize w:val="1"/>
      <w:tblStyleColBandSize w:val="1"/>
      <w:tblCellMar>
        <w:left w:w="108.0" w:type="dxa"/>
        <w:right w:w="108.0" w:type="dxa"/>
      </w:tblCellMar>
    </w:tblPr>
  </w:style>
  <w:style w:type="table" w:styleId="a9" w:customStyle="1">
    <w:basedOn w:val="TableNormale"/>
    <w:tblPr>
      <w:tblStyleRowBandSize w:val="1"/>
      <w:tblStyleColBandSize w:val="1"/>
      <w:tblCellMar>
        <w:left w:w="108.0" w:type="dxa"/>
        <w:right w:w="108.0" w:type="dxa"/>
      </w:tblCellMar>
    </w:tblPr>
  </w:style>
  <w:style w:type="table" w:styleId="aa" w:customStyle="1">
    <w:basedOn w:val="TableNormale"/>
    <w:tblPr>
      <w:tblStyleRowBandSize w:val="1"/>
      <w:tblStyleColBandSize w:val="1"/>
      <w:tblCellMar>
        <w:left w:w="108.0" w:type="dxa"/>
        <w:right w:w="108.0" w:type="dxa"/>
      </w:tblCellMar>
    </w:tblPr>
  </w:style>
  <w:style w:type="table" w:styleId="ab" w:customStyle="1">
    <w:basedOn w:val="TableNormale"/>
    <w:tblPr>
      <w:tblStyleRowBandSize w:val="1"/>
      <w:tblStyleColBandSize w:val="1"/>
      <w:tblCellMar>
        <w:left w:w="108.0" w:type="dxa"/>
        <w:right w:w="108.0" w:type="dxa"/>
      </w:tblCellMar>
    </w:tblPr>
  </w:style>
  <w:style w:type="table" w:styleId="ac" w:customStyle="1">
    <w:basedOn w:val="TableNormale"/>
    <w:tblPr>
      <w:tblStyleRowBandSize w:val="1"/>
      <w:tblStyleColBandSize w:val="1"/>
      <w:tblCellMar>
        <w:left w:w="108.0" w:type="dxa"/>
        <w:right w:w="108.0" w:type="dxa"/>
      </w:tblCellMar>
    </w:tblPr>
  </w:style>
  <w:style w:type="table" w:styleId="ad" w:customStyle="1">
    <w:basedOn w:val="TableNormale"/>
    <w:tblPr>
      <w:tblStyleRowBandSize w:val="1"/>
      <w:tblStyleColBandSize w:val="1"/>
      <w:tblCellMar>
        <w:left w:w="108.0" w:type="dxa"/>
        <w:right w:w="108.0" w:type="dxa"/>
      </w:tblCellMar>
    </w:tblPr>
  </w:style>
  <w:style w:type="table" w:styleId="ae" w:customStyle="1">
    <w:basedOn w:val="TableNormale"/>
    <w:tblPr>
      <w:tblStyleRowBandSize w:val="1"/>
      <w:tblStyleColBandSize w:val="1"/>
      <w:tblCellMar>
        <w:left w:w="108.0" w:type="dxa"/>
        <w:right w:w="108.0" w:type="dxa"/>
      </w:tblCellMar>
    </w:tblPr>
  </w:style>
  <w:style w:type="table" w:styleId="af" w:customStyle="1">
    <w:basedOn w:val="TableNormale"/>
    <w:tblPr>
      <w:tblStyleRowBandSize w:val="1"/>
      <w:tblStyleColBandSize w:val="1"/>
      <w:tblCellMar>
        <w:left w:w="108.0" w:type="dxa"/>
        <w:right w:w="108.0" w:type="dxa"/>
      </w:tblCellMar>
    </w:tblPr>
  </w:style>
  <w:style w:type="table" w:styleId="af0" w:customStyle="1">
    <w:basedOn w:val="TableNormale"/>
    <w:tblPr>
      <w:tblStyleRowBandSize w:val="1"/>
      <w:tblStyleColBandSize w:val="1"/>
      <w:tblCellMar>
        <w:left w:w="108.0" w:type="dxa"/>
        <w:right w:w="108.0" w:type="dxa"/>
      </w:tblCellMar>
    </w:tblPr>
  </w:style>
  <w:style w:type="table" w:styleId="af1" w:customStyle="1">
    <w:basedOn w:val="TableNormale"/>
    <w:tblPr>
      <w:tblStyleRowBandSize w:val="1"/>
      <w:tblStyleColBandSize w:val="1"/>
      <w:tblCellMar>
        <w:left w:w="108.0" w:type="dxa"/>
        <w:right w:w="108.0" w:type="dxa"/>
      </w:tblCellMar>
    </w:tblPr>
  </w:style>
  <w:style w:type="table" w:styleId="af2" w:customStyle="1">
    <w:basedOn w:val="TableNormale"/>
    <w:tblPr>
      <w:tblStyleRowBandSize w:val="1"/>
      <w:tblStyleColBandSize w:val="1"/>
      <w:tblCellMar>
        <w:left w:w="108.0" w:type="dxa"/>
        <w:right w:w="108.0" w:type="dxa"/>
      </w:tblCellMar>
    </w:tblPr>
  </w:style>
  <w:style w:type="table" w:styleId="af3" w:customStyle="1">
    <w:basedOn w:val="TableNormale"/>
    <w:tblPr>
      <w:tblStyleRowBandSize w:val="1"/>
      <w:tblStyleColBandSize w:val="1"/>
      <w:tblCellMar>
        <w:left w:w="108.0" w:type="dxa"/>
        <w:right w:w="108.0" w:type="dxa"/>
      </w:tblCellMar>
    </w:tblPr>
  </w:style>
  <w:style w:type="table" w:styleId="af4" w:customStyle="1">
    <w:basedOn w:val="TableNormale"/>
    <w:tblPr>
      <w:tblStyleRowBandSize w:val="1"/>
      <w:tblStyleColBandSize w:val="1"/>
      <w:tblCellMar>
        <w:left w:w="108.0" w:type="dxa"/>
        <w:right w:w="108.0" w:type="dxa"/>
      </w:tblCellMar>
    </w:tblPr>
  </w:style>
  <w:style w:type="table" w:styleId="af5" w:customStyle="1">
    <w:basedOn w:val="TableNormale"/>
    <w:tblPr>
      <w:tblStyleRowBandSize w:val="1"/>
      <w:tblStyleColBandSize w:val="1"/>
      <w:tblCellMar>
        <w:left w:w="108.0" w:type="dxa"/>
        <w:right w:w="108.0" w:type="dxa"/>
      </w:tblCellMar>
    </w:tblPr>
  </w:style>
  <w:style w:type="table" w:styleId="af6" w:customStyle="1">
    <w:basedOn w:val="TableNormale"/>
    <w:tblPr>
      <w:tblStyleRowBandSize w:val="1"/>
      <w:tblStyleColBandSize w:val="1"/>
      <w:tblCellMar>
        <w:left w:w="108.0" w:type="dxa"/>
        <w:right w:w="108.0" w:type="dxa"/>
      </w:tblCellMar>
    </w:tblPr>
  </w:style>
  <w:style w:type="table" w:styleId="af7" w:customStyle="1">
    <w:basedOn w:val="TableNormale"/>
    <w:tblPr>
      <w:tblStyleRowBandSize w:val="1"/>
      <w:tblStyleColBandSize w:val="1"/>
      <w:tblCellMar>
        <w:left w:w="108.0" w:type="dxa"/>
        <w:right w:w="108.0" w:type="dxa"/>
      </w:tblCellMar>
    </w:tblPr>
  </w:style>
  <w:style w:type="table" w:styleId="af8" w:customStyle="1">
    <w:basedOn w:val="TableNormale"/>
    <w:tblPr>
      <w:tblStyleRowBandSize w:val="1"/>
      <w:tblStyleColBandSize w:val="1"/>
      <w:tblCellMar>
        <w:left w:w="108.0" w:type="dxa"/>
        <w:right w:w="108.0" w:type="dxa"/>
      </w:tblCellMar>
    </w:tblPr>
  </w:style>
  <w:style w:type="table" w:styleId="af9" w:customStyle="1">
    <w:basedOn w:val="TableNormale"/>
    <w:tblPr>
      <w:tblStyleRowBandSize w:val="1"/>
      <w:tblStyleColBandSize w:val="1"/>
      <w:tblCellMar>
        <w:left w:w="108.0" w:type="dxa"/>
        <w:right w:w="108.0" w:type="dxa"/>
      </w:tblCellMar>
    </w:tblPr>
  </w:style>
  <w:style w:type="table" w:styleId="afa" w:customStyle="1">
    <w:basedOn w:val="TableNormale"/>
    <w:tblPr>
      <w:tblStyleRowBandSize w:val="1"/>
      <w:tblStyleColBandSize w:val="1"/>
      <w:tblCellMar>
        <w:left w:w="108.0" w:type="dxa"/>
        <w:right w:w="108.0" w:type="dxa"/>
      </w:tblCellMar>
    </w:tblPr>
  </w:style>
  <w:style w:type="table" w:styleId="afb" w:customStyle="1">
    <w:basedOn w:val="TableNormale"/>
    <w:tblPr>
      <w:tblStyleRowBandSize w:val="1"/>
      <w:tblStyleColBandSize w:val="1"/>
      <w:tblCellMar>
        <w:left w:w="108.0" w:type="dxa"/>
        <w:right w:w="108.0" w:type="dxa"/>
      </w:tblCellMar>
    </w:tblPr>
  </w:style>
  <w:style w:type="table" w:styleId="afc" w:customStyle="1">
    <w:basedOn w:val="TableNormale"/>
    <w:tblPr>
      <w:tblStyleRowBandSize w:val="1"/>
      <w:tblStyleColBandSize w:val="1"/>
      <w:tblCellMar>
        <w:left w:w="108.0" w:type="dxa"/>
        <w:right w:w="108.0" w:type="dxa"/>
      </w:tblCellMar>
    </w:tblPr>
  </w:style>
  <w:style w:type="table" w:styleId="afd" w:customStyle="1">
    <w:basedOn w:val="TableNormale"/>
    <w:tblPr>
      <w:tblStyleRowBandSize w:val="1"/>
      <w:tblStyleColBandSize w:val="1"/>
      <w:tblCellMar>
        <w:left w:w="108.0" w:type="dxa"/>
        <w:right w:w="108.0" w:type="dxa"/>
      </w:tblCellMar>
    </w:tblPr>
  </w:style>
  <w:style w:type="table" w:styleId="afe" w:customStyle="1">
    <w:basedOn w:val="TableNormale"/>
    <w:tblPr>
      <w:tblStyleRowBandSize w:val="1"/>
      <w:tblStyleColBandSize w:val="1"/>
      <w:tblCellMar>
        <w:left w:w="108.0" w:type="dxa"/>
        <w:right w:w="108.0" w:type="dxa"/>
      </w:tblCellMar>
    </w:tblPr>
  </w:style>
  <w:style w:type="table" w:styleId="aff" w:customStyle="1">
    <w:basedOn w:val="TableNormale"/>
    <w:tblPr>
      <w:tblStyleRowBandSize w:val="1"/>
      <w:tblStyleColBandSize w:val="1"/>
      <w:tblCellMar>
        <w:left w:w="108.0" w:type="dxa"/>
        <w:right w:w="108.0" w:type="dxa"/>
      </w:tblCellMar>
    </w:tblPr>
  </w:style>
  <w:style w:type="table" w:styleId="aff0" w:customStyle="1">
    <w:basedOn w:val="TableNormale"/>
    <w:tblPr>
      <w:tblStyleRowBandSize w:val="1"/>
      <w:tblStyleColBandSize w:val="1"/>
      <w:tblCellMar>
        <w:left w:w="108.0" w:type="dxa"/>
        <w:right w:w="108.0" w:type="dxa"/>
      </w:tblCellMar>
    </w:tblPr>
  </w:style>
  <w:style w:type="table" w:styleId="aff1" w:customStyle="1">
    <w:basedOn w:val="TableNormale"/>
    <w:tblPr>
      <w:tblStyleRowBandSize w:val="1"/>
      <w:tblStyleColBandSize w:val="1"/>
      <w:tblCellMar>
        <w:left w:w="108.0" w:type="dxa"/>
        <w:right w:w="108.0" w:type="dxa"/>
      </w:tblCellMar>
    </w:tblPr>
  </w:style>
  <w:style w:type="table" w:styleId="aff2" w:customStyle="1">
    <w:basedOn w:val="TableNormale"/>
    <w:tblPr>
      <w:tblStyleRowBandSize w:val="1"/>
      <w:tblStyleColBandSize w:val="1"/>
      <w:tblCellMar>
        <w:left w:w="108.0" w:type="dxa"/>
        <w:right w:w="108.0" w:type="dxa"/>
      </w:tblCellMar>
    </w:tblPr>
  </w:style>
  <w:style w:type="table" w:styleId="aff3" w:customStyle="1">
    <w:basedOn w:val="TableNormale"/>
    <w:tblPr>
      <w:tblStyleRowBandSize w:val="1"/>
      <w:tblStyleColBandSize w:val="1"/>
      <w:tblCellMar>
        <w:left w:w="108.0" w:type="dxa"/>
        <w:right w:w="108.0" w:type="dxa"/>
      </w:tblCellMar>
    </w:tblPr>
  </w:style>
  <w:style w:type="table" w:styleId="aff4" w:customStyle="1">
    <w:basedOn w:val="TableNormale"/>
    <w:tblPr>
      <w:tblStyleRowBandSize w:val="1"/>
      <w:tblStyleColBandSize w:val="1"/>
      <w:tblCellMar>
        <w:left w:w="108.0" w:type="dxa"/>
        <w:right w:w="108.0" w:type="dxa"/>
      </w:tblCellMar>
    </w:tblPr>
  </w:style>
  <w:style w:type="table" w:styleId="aff5" w:customStyle="1">
    <w:basedOn w:val="TableNormale"/>
    <w:tblPr>
      <w:tblStyleRowBandSize w:val="1"/>
      <w:tblStyleColBandSize w:val="1"/>
      <w:tblCellMar>
        <w:left w:w="108.0" w:type="dxa"/>
        <w:right w:w="108.0" w:type="dxa"/>
      </w:tblCellMar>
    </w:tblPr>
  </w:style>
  <w:style w:type="table" w:styleId="aff6" w:customStyle="1">
    <w:basedOn w:val="TableNormale"/>
    <w:tblPr>
      <w:tblStyleRowBandSize w:val="1"/>
      <w:tblStyleColBandSize w:val="1"/>
      <w:tblCellMar>
        <w:left w:w="108.0" w:type="dxa"/>
        <w:right w:w="108.0" w:type="dxa"/>
      </w:tblCellMar>
    </w:tblPr>
  </w:style>
  <w:style w:type="table" w:styleId="aff7" w:customStyle="1">
    <w:basedOn w:val="TableNormale"/>
    <w:tblPr>
      <w:tblStyleRowBandSize w:val="1"/>
      <w:tblStyleColBandSize w:val="1"/>
      <w:tblCellMar>
        <w:left w:w="108.0" w:type="dxa"/>
        <w:right w:w="108.0" w:type="dxa"/>
      </w:tblCellMar>
    </w:tblPr>
  </w:style>
  <w:style w:type="table" w:styleId="aff8" w:customStyle="1">
    <w:basedOn w:val="TableNormale"/>
    <w:tblPr>
      <w:tblStyleRowBandSize w:val="1"/>
      <w:tblStyleColBandSize w:val="1"/>
      <w:tblCellMar>
        <w:left w:w="108.0" w:type="dxa"/>
        <w:right w:w="108.0" w:type="dxa"/>
      </w:tblCellMar>
    </w:tblPr>
  </w:style>
  <w:style w:type="table" w:styleId="aff9" w:customStyle="1">
    <w:basedOn w:val="TableNormale"/>
    <w:tblPr>
      <w:tblStyleRowBandSize w:val="1"/>
      <w:tblStyleColBandSize w:val="1"/>
      <w:tblCellMar>
        <w:left w:w="108.0" w:type="dxa"/>
        <w:right w:w="108.0" w:type="dxa"/>
      </w:tblCellMar>
    </w:tblPr>
  </w:style>
  <w:style w:type="table" w:styleId="affa" w:customStyle="1">
    <w:basedOn w:val="TableNormale"/>
    <w:tblPr>
      <w:tblStyleRowBandSize w:val="1"/>
      <w:tblStyleColBandSize w:val="1"/>
      <w:tblCellMar>
        <w:left w:w="108.0" w:type="dxa"/>
        <w:right w:w="108.0" w:type="dxa"/>
      </w:tblCellMar>
    </w:tblPr>
  </w:style>
  <w:style w:type="table" w:styleId="affb" w:customStyle="1">
    <w:basedOn w:val="TableNormale"/>
    <w:tblPr>
      <w:tblStyleRowBandSize w:val="1"/>
      <w:tblStyleColBandSize w:val="1"/>
      <w:tblCellMar>
        <w:left w:w="108.0" w:type="dxa"/>
        <w:right w:w="108.0" w:type="dxa"/>
      </w:tblCellMar>
    </w:tblPr>
  </w:style>
  <w:style w:type="table" w:styleId="affc" w:customStyle="1">
    <w:basedOn w:val="TableNormale"/>
    <w:tblPr>
      <w:tblStyleRowBandSize w:val="1"/>
      <w:tblStyleColBandSize w:val="1"/>
      <w:tblCellMar>
        <w:left w:w="108.0" w:type="dxa"/>
        <w:right w:w="108.0" w:type="dxa"/>
      </w:tblCellMar>
    </w:tblPr>
  </w:style>
  <w:style w:type="table" w:styleId="affd" w:customStyle="1">
    <w:basedOn w:val="TableNormale"/>
    <w:tblPr>
      <w:tblStyleRowBandSize w:val="1"/>
      <w:tblStyleColBandSize w:val="1"/>
      <w:tblCellMar>
        <w:left w:w="108.0" w:type="dxa"/>
        <w:right w:w="108.0" w:type="dxa"/>
      </w:tblCellMar>
    </w:tblPr>
  </w:style>
  <w:style w:type="table" w:styleId="affe" w:customStyle="1">
    <w:basedOn w:val="TableNormale"/>
    <w:tblPr>
      <w:tblStyleRowBandSize w:val="1"/>
      <w:tblStyleColBandSize w:val="1"/>
      <w:tblCellMar>
        <w:left w:w="108.0" w:type="dxa"/>
        <w:right w:w="108.0" w:type="dxa"/>
      </w:tblCellMar>
    </w:tblPr>
  </w:style>
  <w:style w:type="table" w:styleId="afff" w:customStyle="1">
    <w:basedOn w:val="TableNormale"/>
    <w:tblPr>
      <w:tblStyleRowBandSize w:val="1"/>
      <w:tblStyleColBandSize w:val="1"/>
      <w:tblCellMar>
        <w:left w:w="108.0" w:type="dxa"/>
        <w:right w:w="108.0" w:type="dxa"/>
      </w:tblCellMar>
    </w:tblPr>
  </w:style>
  <w:style w:type="table" w:styleId="afff0" w:customStyle="1">
    <w:basedOn w:val="TableNormale"/>
    <w:tblPr>
      <w:tblStyleRowBandSize w:val="1"/>
      <w:tblStyleColBandSize w:val="1"/>
      <w:tblCellMar>
        <w:left w:w="108.0" w:type="dxa"/>
        <w:right w:w="108.0" w:type="dxa"/>
      </w:tblCellMar>
    </w:tblPr>
  </w:style>
  <w:style w:type="table" w:styleId="afff1" w:customStyle="1">
    <w:basedOn w:val="TableNormale"/>
    <w:tblPr>
      <w:tblStyleRowBandSize w:val="1"/>
      <w:tblStyleColBandSize w:val="1"/>
      <w:tblCellMar>
        <w:left w:w="108.0" w:type="dxa"/>
        <w:right w:w="108.0" w:type="dxa"/>
      </w:tblCellMar>
    </w:tblPr>
  </w:style>
  <w:style w:type="table" w:styleId="afff2" w:customStyle="1">
    <w:basedOn w:val="TableNormale"/>
    <w:tblPr>
      <w:tblStyleRowBandSize w:val="1"/>
      <w:tblStyleColBandSize w:val="1"/>
      <w:tblCellMar>
        <w:left w:w="108.0" w:type="dxa"/>
        <w:right w:w="108.0" w:type="dxa"/>
      </w:tblCellMar>
    </w:tblPr>
  </w:style>
  <w:style w:type="table" w:styleId="afff3" w:customStyle="1">
    <w:basedOn w:val="TableNormale"/>
    <w:tblPr>
      <w:tblStyleRowBandSize w:val="1"/>
      <w:tblStyleColBandSize w:val="1"/>
      <w:tblCellMar>
        <w:left w:w="108.0" w:type="dxa"/>
        <w:right w:w="108.0" w:type="dxa"/>
      </w:tblCellMar>
    </w:tblPr>
  </w:style>
  <w:style w:type="table" w:styleId="afff4" w:customStyle="1">
    <w:basedOn w:val="TableNormale"/>
    <w:tblPr>
      <w:tblStyleRowBandSize w:val="1"/>
      <w:tblStyleColBandSize w:val="1"/>
      <w:tblCellMar>
        <w:left w:w="108.0" w:type="dxa"/>
        <w:right w:w="108.0" w:type="dxa"/>
      </w:tblCellMar>
    </w:tblPr>
  </w:style>
  <w:style w:type="table" w:styleId="afff5" w:customStyle="1">
    <w:basedOn w:val="TableNormale"/>
    <w:tblPr>
      <w:tblStyleRowBandSize w:val="1"/>
      <w:tblStyleColBandSize w:val="1"/>
      <w:tblCellMar>
        <w:left w:w="108.0" w:type="dxa"/>
        <w:right w:w="108.0" w:type="dxa"/>
      </w:tblCellMar>
    </w:tblPr>
  </w:style>
  <w:style w:type="table" w:styleId="afff6" w:customStyle="1">
    <w:basedOn w:val="TableNormale"/>
    <w:tblPr>
      <w:tblStyleRowBandSize w:val="1"/>
      <w:tblStyleColBandSize w:val="1"/>
      <w:tblCellMar>
        <w:left w:w="108.0" w:type="dxa"/>
        <w:right w:w="108.0" w:type="dxa"/>
      </w:tblCellMar>
    </w:tblPr>
  </w:style>
  <w:style w:type="table" w:styleId="afff7" w:customStyle="1">
    <w:basedOn w:val="TableNormale"/>
    <w:tblPr>
      <w:tblStyleRowBandSize w:val="1"/>
      <w:tblStyleColBandSize w:val="1"/>
      <w:tblCellMar>
        <w:left w:w="108.0" w:type="dxa"/>
        <w:right w:w="108.0" w:type="dxa"/>
      </w:tblCellMar>
    </w:tblPr>
  </w:style>
  <w:style w:type="table" w:styleId="afff8" w:customStyle="1">
    <w:basedOn w:val="TableNormale"/>
    <w:tblPr>
      <w:tblStyleRowBandSize w:val="1"/>
      <w:tblStyleColBandSize w:val="1"/>
      <w:tblCellMar>
        <w:left w:w="108.0" w:type="dxa"/>
        <w:right w:w="108.0" w:type="dxa"/>
      </w:tblCellMar>
    </w:tblPr>
  </w:style>
  <w:style w:type="table" w:styleId="afff9" w:customStyle="1">
    <w:basedOn w:val="TableNormale"/>
    <w:tblPr>
      <w:tblStyleRowBandSize w:val="1"/>
      <w:tblStyleColBandSize w:val="1"/>
      <w:tblCellMar>
        <w:left w:w="108.0" w:type="dxa"/>
        <w:right w:w="108.0" w:type="dxa"/>
      </w:tblCellMar>
    </w:tblPr>
  </w:style>
  <w:style w:type="table" w:styleId="afffa" w:customStyle="1">
    <w:basedOn w:val="TableNormale"/>
    <w:tblPr>
      <w:tblStyleRowBandSize w:val="1"/>
      <w:tblStyleColBandSize w:val="1"/>
      <w:tblCellMar>
        <w:left w:w="108.0" w:type="dxa"/>
        <w:right w:w="108.0" w:type="dxa"/>
      </w:tblCellMar>
    </w:tblPr>
  </w:style>
  <w:style w:type="table" w:styleId="afffb" w:customStyle="1">
    <w:basedOn w:val="TableNormale"/>
    <w:tblPr>
      <w:tblStyleRowBandSize w:val="1"/>
      <w:tblStyleColBandSize w:val="1"/>
      <w:tblCellMar>
        <w:left w:w="108.0" w:type="dxa"/>
        <w:right w:w="108.0" w:type="dxa"/>
      </w:tblCellMar>
    </w:tblPr>
  </w:style>
  <w:style w:type="table" w:styleId="afffc" w:customStyle="1">
    <w:basedOn w:val="TableNormale"/>
    <w:tblPr>
      <w:tblStyleRowBandSize w:val="1"/>
      <w:tblStyleColBandSize w:val="1"/>
      <w:tblCellMar>
        <w:left w:w="108.0" w:type="dxa"/>
        <w:right w:w="108.0" w:type="dxa"/>
      </w:tblCellMar>
    </w:tblPr>
  </w:style>
  <w:style w:type="table" w:styleId="afffd" w:customStyle="1">
    <w:basedOn w:val="TableNormale"/>
    <w:tblPr>
      <w:tblStyleRowBandSize w:val="1"/>
      <w:tblStyleColBandSize w:val="1"/>
      <w:tblCellMar>
        <w:left w:w="108.0" w:type="dxa"/>
        <w:right w:w="108.0" w:type="dxa"/>
      </w:tblCellMar>
    </w:tblPr>
  </w:style>
  <w:style w:type="table" w:styleId="afffe" w:customStyle="1">
    <w:basedOn w:val="TableNormale"/>
    <w:tblPr>
      <w:tblStyleRowBandSize w:val="1"/>
      <w:tblStyleColBandSize w:val="1"/>
      <w:tblCellMar>
        <w:left w:w="108.0" w:type="dxa"/>
        <w:right w:w="108.0" w:type="dxa"/>
      </w:tblCellMar>
    </w:tblPr>
  </w:style>
  <w:style w:type="table" w:styleId="affff" w:customStyle="1">
    <w:basedOn w:val="TableNormale"/>
    <w:tblPr>
      <w:tblStyleRowBandSize w:val="1"/>
      <w:tblStyleColBandSize w:val="1"/>
      <w:tblCellMar>
        <w:left w:w="108.0" w:type="dxa"/>
        <w:right w:w="108.0" w:type="dxa"/>
      </w:tblCellMar>
    </w:tblPr>
  </w:style>
  <w:style w:type="table" w:styleId="affff0" w:customStyle="1">
    <w:basedOn w:val="TableNormale"/>
    <w:tblPr>
      <w:tblStyleRowBandSize w:val="1"/>
      <w:tblStyleColBandSize w:val="1"/>
      <w:tblCellMar>
        <w:left w:w="108.0" w:type="dxa"/>
        <w:right w:w="108.0" w:type="dxa"/>
      </w:tblCellMar>
    </w:tblPr>
  </w:style>
  <w:style w:type="table" w:styleId="affff1" w:customStyle="1">
    <w:basedOn w:val="TableNormale"/>
    <w:tblPr>
      <w:tblStyleRowBandSize w:val="1"/>
      <w:tblStyleColBandSize w:val="1"/>
      <w:tblCellMar>
        <w:left w:w="108.0" w:type="dxa"/>
        <w:right w:w="108.0" w:type="dxa"/>
      </w:tblCellMar>
    </w:tblPr>
  </w:style>
  <w:style w:type="table" w:styleId="affff2" w:customStyle="1">
    <w:basedOn w:val="TableNormale"/>
    <w:tblPr>
      <w:tblStyleRowBandSize w:val="1"/>
      <w:tblStyleColBandSize w:val="1"/>
      <w:tblCellMar>
        <w:left w:w="108.0" w:type="dxa"/>
        <w:right w:w="108.0" w:type="dxa"/>
      </w:tblCellMar>
    </w:tblPr>
  </w:style>
  <w:style w:type="table" w:styleId="affff3" w:customStyle="1">
    <w:basedOn w:val="TableNormale"/>
    <w:tblPr>
      <w:tblStyleRowBandSize w:val="1"/>
      <w:tblStyleColBandSize w:val="1"/>
      <w:tblCellMar>
        <w:left w:w="108.0" w:type="dxa"/>
        <w:right w:w="108.0" w:type="dxa"/>
      </w:tblCellMar>
    </w:tblPr>
  </w:style>
  <w:style w:type="table" w:styleId="affff4" w:customStyle="1">
    <w:basedOn w:val="TableNormale"/>
    <w:tblPr>
      <w:tblStyleRowBandSize w:val="1"/>
      <w:tblStyleColBandSize w:val="1"/>
      <w:tblCellMar>
        <w:left w:w="108.0" w:type="dxa"/>
        <w:right w:w="108.0" w:type="dxa"/>
      </w:tblCellMar>
    </w:tblPr>
  </w:style>
  <w:style w:type="table" w:styleId="affff5" w:customStyle="1">
    <w:basedOn w:val="TableNormale"/>
    <w:tblPr>
      <w:tblStyleRowBandSize w:val="1"/>
      <w:tblStyleColBandSize w:val="1"/>
      <w:tblCellMar>
        <w:left w:w="108.0" w:type="dxa"/>
        <w:right w:w="108.0" w:type="dxa"/>
      </w:tblCellMar>
    </w:tblPr>
  </w:style>
  <w:style w:type="table" w:styleId="affff6" w:customStyle="1">
    <w:basedOn w:val="TableNormale"/>
    <w:tblPr>
      <w:tblStyleRowBandSize w:val="1"/>
      <w:tblStyleColBandSize w:val="1"/>
      <w:tblCellMar>
        <w:left w:w="108.0" w:type="dxa"/>
        <w:right w:w="108.0" w:type="dxa"/>
      </w:tblCellMar>
    </w:tblPr>
  </w:style>
  <w:style w:type="table" w:styleId="affff7" w:customStyle="1">
    <w:basedOn w:val="TableNormale"/>
    <w:tblPr>
      <w:tblStyleRowBandSize w:val="1"/>
      <w:tblStyleColBandSize w:val="1"/>
      <w:tblCellMar>
        <w:left w:w="108.0" w:type="dxa"/>
        <w:right w:w="108.0" w:type="dxa"/>
      </w:tblCellMar>
    </w:tblPr>
  </w:style>
  <w:style w:type="table" w:styleId="affff8" w:customStyle="1">
    <w:basedOn w:val="TableNormale"/>
    <w:tblPr>
      <w:tblStyleRowBandSize w:val="1"/>
      <w:tblStyleColBandSize w:val="1"/>
      <w:tblCellMar>
        <w:left w:w="108.0" w:type="dxa"/>
        <w:right w:w="108.0" w:type="dxa"/>
      </w:tblCellMar>
    </w:tblPr>
  </w:style>
  <w:style w:type="table" w:styleId="affff9" w:customStyle="1">
    <w:basedOn w:val="TableNormale"/>
    <w:tblPr>
      <w:tblStyleRowBandSize w:val="1"/>
      <w:tblStyleColBandSize w:val="1"/>
      <w:tblCellMar>
        <w:left w:w="108.0" w:type="dxa"/>
        <w:right w:w="108.0" w:type="dxa"/>
      </w:tblCellMar>
    </w:tblPr>
  </w:style>
  <w:style w:type="table" w:styleId="affffa" w:customStyle="1">
    <w:basedOn w:val="TableNormale"/>
    <w:tblPr>
      <w:tblStyleRowBandSize w:val="1"/>
      <w:tblStyleColBandSize w:val="1"/>
      <w:tblCellMar>
        <w:left w:w="108.0" w:type="dxa"/>
        <w:right w:w="108.0" w:type="dxa"/>
      </w:tblCellMar>
    </w:tblPr>
  </w:style>
  <w:style w:type="table" w:styleId="affffb" w:customStyle="1">
    <w:basedOn w:val="TableNormale"/>
    <w:tblPr>
      <w:tblStyleRowBandSize w:val="1"/>
      <w:tblStyleColBandSize w:val="1"/>
      <w:tblCellMar>
        <w:left w:w="108.0" w:type="dxa"/>
        <w:right w:w="108.0" w:type="dxa"/>
      </w:tblCellMar>
    </w:tblPr>
  </w:style>
  <w:style w:type="table" w:styleId="affffc" w:customStyle="1">
    <w:basedOn w:val="TableNormale"/>
    <w:tblPr>
      <w:tblStyleRowBandSize w:val="1"/>
      <w:tblStyleColBandSize w:val="1"/>
      <w:tblCellMar>
        <w:left w:w="108.0" w:type="dxa"/>
        <w:right w:w="108.0" w:type="dxa"/>
      </w:tblCellMar>
    </w:tblPr>
  </w:style>
  <w:style w:type="table" w:styleId="affffd" w:customStyle="1">
    <w:basedOn w:val="TableNormale"/>
    <w:tblPr>
      <w:tblStyleRowBandSize w:val="1"/>
      <w:tblStyleColBandSize w:val="1"/>
      <w:tblCellMar>
        <w:left w:w="108.0" w:type="dxa"/>
        <w:right w:w="108.0" w:type="dxa"/>
      </w:tblCellMar>
    </w:tblPr>
  </w:style>
  <w:style w:type="table" w:styleId="affffe" w:customStyle="1">
    <w:basedOn w:val="TableNormale"/>
    <w:tblPr>
      <w:tblStyleRowBandSize w:val="1"/>
      <w:tblStyleColBandSize w:val="1"/>
      <w:tblCellMar>
        <w:left w:w="108.0" w:type="dxa"/>
        <w:right w:w="108.0" w:type="dxa"/>
      </w:tblCellMar>
    </w:tblPr>
  </w:style>
  <w:style w:type="table" w:styleId="afffff" w:customStyle="1">
    <w:basedOn w:val="TableNormale"/>
    <w:tblPr>
      <w:tblStyleRowBandSize w:val="1"/>
      <w:tblStyleColBandSize w:val="1"/>
      <w:tblCellMar>
        <w:left w:w="108.0" w:type="dxa"/>
        <w:right w:w="108.0" w:type="dxa"/>
      </w:tblCellMar>
    </w:tblPr>
  </w:style>
  <w:style w:type="table" w:styleId="afffff0" w:customStyle="1">
    <w:basedOn w:val="TableNormale"/>
    <w:tblPr>
      <w:tblStyleRowBandSize w:val="1"/>
      <w:tblStyleColBandSize w:val="1"/>
      <w:tblCellMar>
        <w:left w:w="108.0" w:type="dxa"/>
        <w:right w:w="108.0" w:type="dxa"/>
      </w:tblCellMar>
    </w:tblPr>
  </w:style>
  <w:style w:type="table" w:styleId="afffff1" w:customStyle="1">
    <w:basedOn w:val="TableNormale"/>
    <w:tblPr>
      <w:tblStyleRowBandSize w:val="1"/>
      <w:tblStyleColBandSize w:val="1"/>
      <w:tblCellMar>
        <w:left w:w="108.0" w:type="dxa"/>
        <w:right w:w="108.0" w:type="dxa"/>
      </w:tblCellMar>
    </w:tblPr>
  </w:style>
  <w:style w:type="table" w:styleId="afffff2" w:customStyle="1">
    <w:basedOn w:val="TableNormale"/>
    <w:tblPr>
      <w:tblStyleRowBandSize w:val="1"/>
      <w:tblStyleColBandSize w:val="1"/>
      <w:tblCellMar>
        <w:left w:w="108.0" w:type="dxa"/>
        <w:right w:w="108.0" w:type="dxa"/>
      </w:tblCellMar>
    </w:tblPr>
  </w:style>
  <w:style w:type="table" w:styleId="afffff3" w:customStyle="1">
    <w:basedOn w:val="TableNormale"/>
    <w:tblPr>
      <w:tblStyleRowBandSize w:val="1"/>
      <w:tblStyleColBandSize w:val="1"/>
      <w:tblCellMar>
        <w:left w:w="108.0" w:type="dxa"/>
        <w:right w:w="108.0" w:type="dxa"/>
      </w:tblCellMar>
    </w:tblPr>
  </w:style>
  <w:style w:type="table" w:styleId="afffff4" w:customStyle="1">
    <w:basedOn w:val="TableNormale"/>
    <w:tblPr>
      <w:tblStyleRowBandSize w:val="1"/>
      <w:tblStyleColBandSize w:val="1"/>
      <w:tblCellMar>
        <w:left w:w="108.0" w:type="dxa"/>
        <w:right w:w="108.0" w:type="dxa"/>
      </w:tblCellMar>
    </w:tblPr>
  </w:style>
  <w:style w:type="table" w:styleId="afffff5" w:customStyle="1">
    <w:basedOn w:val="TableNormale"/>
    <w:tblPr>
      <w:tblStyleRowBandSize w:val="1"/>
      <w:tblStyleColBandSize w:val="1"/>
      <w:tblCellMar>
        <w:left w:w="108.0" w:type="dxa"/>
        <w:right w:w="108.0" w:type="dxa"/>
      </w:tblCellMar>
    </w:tblPr>
  </w:style>
  <w:style w:type="table" w:styleId="afffff6" w:customStyle="1">
    <w:basedOn w:val="TableNormale"/>
    <w:tblPr>
      <w:tblStyleRowBandSize w:val="1"/>
      <w:tblStyleColBandSize w:val="1"/>
      <w:tblCellMar>
        <w:left w:w="108.0" w:type="dxa"/>
        <w:right w:w="108.0" w:type="dxa"/>
      </w:tblCellMar>
    </w:tblPr>
  </w:style>
  <w:style w:type="table" w:styleId="afffff7" w:customStyle="1">
    <w:basedOn w:val="TableNormale"/>
    <w:tblPr>
      <w:tblStyleRowBandSize w:val="1"/>
      <w:tblStyleColBandSize w:val="1"/>
      <w:tblCellMar>
        <w:left w:w="108.0" w:type="dxa"/>
        <w:right w:w="108.0" w:type="dxa"/>
      </w:tblCellMar>
    </w:tblPr>
  </w:style>
  <w:style w:type="table" w:styleId="afffff8" w:customStyle="1">
    <w:basedOn w:val="TableNormale"/>
    <w:tblPr>
      <w:tblStyleRowBandSize w:val="1"/>
      <w:tblStyleColBandSize w:val="1"/>
      <w:tblCellMar>
        <w:left w:w="108.0" w:type="dxa"/>
        <w:right w:w="108.0" w:type="dxa"/>
      </w:tblCellMar>
    </w:tblPr>
  </w:style>
  <w:style w:type="table" w:styleId="afffff9" w:customStyle="1">
    <w:basedOn w:val="TableNormale"/>
    <w:tblPr>
      <w:tblStyleRowBandSize w:val="1"/>
      <w:tblStyleColBandSize w:val="1"/>
      <w:tblCellMar>
        <w:left w:w="108.0" w:type="dxa"/>
        <w:right w:w="108.0" w:type="dxa"/>
      </w:tblCellMar>
    </w:tblPr>
  </w:style>
  <w:style w:type="table" w:styleId="afffffa" w:customStyle="1">
    <w:basedOn w:val="TableNormale"/>
    <w:tblPr>
      <w:tblStyleRowBandSize w:val="1"/>
      <w:tblStyleColBandSize w:val="1"/>
      <w:tblCellMar>
        <w:left w:w="108.0" w:type="dxa"/>
        <w:right w:w="108.0" w:type="dxa"/>
      </w:tblCellMar>
    </w:tblPr>
  </w:style>
  <w:style w:type="table" w:styleId="afffffb" w:customStyle="1">
    <w:basedOn w:val="TableNormale"/>
    <w:tblPr>
      <w:tblStyleRowBandSize w:val="1"/>
      <w:tblStyleColBandSize w:val="1"/>
      <w:tblCellMar>
        <w:left w:w="108.0" w:type="dxa"/>
        <w:right w:w="108.0" w:type="dxa"/>
      </w:tblCellMar>
    </w:tblPr>
  </w:style>
  <w:style w:type="table" w:styleId="afffffc" w:customStyle="1">
    <w:basedOn w:val="TableNormale"/>
    <w:tblPr>
      <w:tblStyleRowBandSize w:val="1"/>
      <w:tblStyleColBandSize w:val="1"/>
      <w:tblCellMar>
        <w:left w:w="108.0" w:type="dxa"/>
        <w:right w:w="108.0" w:type="dxa"/>
      </w:tblCellMar>
    </w:tblPr>
  </w:style>
  <w:style w:type="table" w:styleId="afffffd" w:customStyle="1">
    <w:basedOn w:val="TableNormale"/>
    <w:tblPr>
      <w:tblStyleRowBandSize w:val="1"/>
      <w:tblStyleColBandSize w:val="1"/>
      <w:tblCellMar>
        <w:left w:w="108.0" w:type="dxa"/>
        <w:right w:w="108.0" w:type="dxa"/>
      </w:tblCellMar>
    </w:tblPr>
  </w:style>
  <w:style w:type="table" w:styleId="afffffe" w:customStyle="1">
    <w:basedOn w:val="TableNormale"/>
    <w:tblPr>
      <w:tblStyleRowBandSize w:val="1"/>
      <w:tblStyleColBandSize w:val="1"/>
      <w:tblCellMar>
        <w:left w:w="108.0" w:type="dxa"/>
        <w:right w:w="108.0" w:type="dxa"/>
      </w:tblCellMar>
    </w:tblPr>
  </w:style>
  <w:style w:type="table" w:styleId="affffff" w:customStyle="1">
    <w:basedOn w:val="TableNormale"/>
    <w:tblPr>
      <w:tblStyleRowBandSize w:val="1"/>
      <w:tblStyleColBandSize w:val="1"/>
      <w:tblCellMar>
        <w:left w:w="108.0" w:type="dxa"/>
        <w:right w:w="108.0" w:type="dxa"/>
      </w:tblCellMar>
    </w:tblPr>
  </w:style>
  <w:style w:type="table" w:styleId="affffff0" w:customStyle="1">
    <w:basedOn w:val="TableNormale"/>
    <w:tblPr>
      <w:tblStyleRowBandSize w:val="1"/>
      <w:tblStyleColBandSize w:val="1"/>
      <w:tblCellMar>
        <w:left w:w="108.0" w:type="dxa"/>
        <w:right w:w="108.0" w:type="dxa"/>
      </w:tblCellMar>
    </w:tblPr>
  </w:style>
  <w:style w:type="table" w:styleId="affffff1" w:customStyle="1">
    <w:basedOn w:val="TableNormale"/>
    <w:tblPr>
      <w:tblStyleRowBandSize w:val="1"/>
      <w:tblStyleColBandSize w:val="1"/>
      <w:tblCellMar>
        <w:left w:w="108.0" w:type="dxa"/>
        <w:right w:w="108.0" w:type="dxa"/>
      </w:tblCellMar>
    </w:tblPr>
  </w:style>
  <w:style w:type="table" w:styleId="affffff2" w:customStyle="1">
    <w:basedOn w:val="TableNormale"/>
    <w:tblPr>
      <w:tblStyleRowBandSize w:val="1"/>
      <w:tblStyleColBandSize w:val="1"/>
      <w:tblCellMar>
        <w:left w:w="108.0" w:type="dxa"/>
        <w:right w:w="108.0" w:type="dxa"/>
      </w:tblCellMar>
    </w:tblPr>
  </w:style>
  <w:style w:type="table" w:styleId="affffff3" w:customStyle="1">
    <w:basedOn w:val="TableNormale"/>
    <w:tblPr>
      <w:tblStyleRowBandSize w:val="1"/>
      <w:tblStyleColBandSize w:val="1"/>
      <w:tblCellMar>
        <w:left w:w="108.0" w:type="dxa"/>
        <w:right w:w="108.0" w:type="dxa"/>
      </w:tblCellMar>
    </w:tblPr>
  </w:style>
  <w:style w:type="table" w:styleId="affffff4" w:customStyle="1">
    <w:basedOn w:val="TableNormale"/>
    <w:tblPr>
      <w:tblStyleRowBandSize w:val="1"/>
      <w:tblStyleColBandSize w:val="1"/>
      <w:tblCellMar>
        <w:left w:w="108.0" w:type="dxa"/>
        <w:right w:w="108.0" w:type="dxa"/>
      </w:tblCellMar>
    </w:tblPr>
  </w:style>
  <w:style w:type="table" w:styleId="affffff5" w:customStyle="1">
    <w:basedOn w:val="TableNormale"/>
    <w:tblPr>
      <w:tblStyleRowBandSize w:val="1"/>
      <w:tblStyleColBandSize w:val="1"/>
      <w:tblCellMar>
        <w:left w:w="108.0" w:type="dxa"/>
        <w:right w:w="108.0" w:type="dxa"/>
      </w:tblCellMar>
    </w:tblPr>
  </w:style>
  <w:style w:type="table" w:styleId="affffff6" w:customStyle="1">
    <w:basedOn w:val="TableNormale"/>
    <w:tblPr>
      <w:tblStyleRowBandSize w:val="1"/>
      <w:tblStyleColBandSize w:val="1"/>
      <w:tblCellMar>
        <w:left w:w="108.0" w:type="dxa"/>
        <w:right w:w="108.0" w:type="dxa"/>
      </w:tblCellMar>
    </w:tblPr>
  </w:style>
  <w:style w:type="table" w:styleId="affffff7" w:customStyle="1">
    <w:basedOn w:val="TableNormale"/>
    <w:tblPr>
      <w:tblStyleRowBandSize w:val="1"/>
      <w:tblStyleColBandSize w:val="1"/>
      <w:tblCellMar>
        <w:left w:w="108.0" w:type="dxa"/>
        <w:right w:w="108.0" w:type="dxa"/>
      </w:tblCellMar>
    </w:tblPr>
  </w:style>
  <w:style w:type="table" w:styleId="affffff8" w:customStyle="1">
    <w:basedOn w:val="TableNormale"/>
    <w:tblPr>
      <w:tblStyleRowBandSize w:val="1"/>
      <w:tblStyleColBandSize w:val="1"/>
      <w:tblCellMar>
        <w:left w:w="108.0" w:type="dxa"/>
        <w:right w:w="108.0" w:type="dxa"/>
      </w:tblCellMar>
    </w:tblPr>
  </w:style>
  <w:style w:type="table" w:styleId="affffff9" w:customStyle="1">
    <w:basedOn w:val="TableNormale"/>
    <w:tblPr>
      <w:tblStyleRowBandSize w:val="1"/>
      <w:tblStyleColBandSize w:val="1"/>
      <w:tblCellMar>
        <w:left w:w="108.0" w:type="dxa"/>
        <w:right w:w="108.0" w:type="dxa"/>
      </w:tblCellMar>
    </w:tblPr>
  </w:style>
  <w:style w:type="table" w:styleId="affffffa" w:customStyle="1">
    <w:basedOn w:val="TableNormale"/>
    <w:tblPr>
      <w:tblStyleRowBandSize w:val="1"/>
      <w:tblStyleColBandSize w:val="1"/>
      <w:tblCellMar>
        <w:left w:w="108.0" w:type="dxa"/>
        <w:right w:w="108.0" w:type="dxa"/>
      </w:tblCellMar>
    </w:tblPr>
  </w:style>
  <w:style w:type="table" w:styleId="affffffb" w:customStyle="1">
    <w:basedOn w:val="TableNormale"/>
    <w:tblPr>
      <w:tblStyleRowBandSize w:val="1"/>
      <w:tblStyleColBandSize w:val="1"/>
      <w:tblCellMar>
        <w:left w:w="108.0" w:type="dxa"/>
        <w:right w:w="108.0" w:type="dxa"/>
      </w:tblCellMar>
    </w:tblPr>
  </w:style>
  <w:style w:type="table" w:styleId="affffffc" w:customStyle="1">
    <w:basedOn w:val="TableNormale"/>
    <w:tblPr>
      <w:tblStyleRowBandSize w:val="1"/>
      <w:tblStyleColBandSize w:val="1"/>
      <w:tblCellMar>
        <w:left w:w="108.0" w:type="dxa"/>
        <w:right w:w="108.0" w:type="dxa"/>
      </w:tblCellMar>
    </w:tblPr>
  </w:style>
  <w:style w:type="table" w:styleId="affffffd" w:customStyle="1">
    <w:basedOn w:val="TableNormale"/>
    <w:tblPr>
      <w:tblStyleRowBandSize w:val="1"/>
      <w:tblStyleColBandSize w:val="1"/>
      <w:tblCellMar>
        <w:left w:w="108.0" w:type="dxa"/>
        <w:right w:w="108.0" w:type="dxa"/>
      </w:tblCellMar>
    </w:tblPr>
  </w:style>
  <w:style w:type="table" w:styleId="affffffe" w:customStyle="1">
    <w:basedOn w:val="TableNormale"/>
    <w:tblPr>
      <w:tblStyleRowBandSize w:val="1"/>
      <w:tblStyleColBandSize w:val="1"/>
      <w:tblCellMar>
        <w:left w:w="108.0" w:type="dxa"/>
        <w:right w:w="108.0" w:type="dxa"/>
      </w:tblCellMar>
    </w:tblPr>
  </w:style>
  <w:style w:type="table" w:styleId="afffffff" w:customStyle="1">
    <w:basedOn w:val="TableNormale"/>
    <w:tblPr>
      <w:tblStyleRowBandSize w:val="1"/>
      <w:tblStyleColBandSize w:val="1"/>
      <w:tblCellMar>
        <w:left w:w="108.0" w:type="dxa"/>
        <w:right w:w="108.0" w:type="dxa"/>
      </w:tblCellMar>
    </w:tblPr>
  </w:style>
  <w:style w:type="table" w:styleId="afffffff0" w:customStyle="1">
    <w:basedOn w:val="TableNormale"/>
    <w:tblPr>
      <w:tblStyleRowBandSize w:val="1"/>
      <w:tblStyleColBandSize w:val="1"/>
      <w:tblCellMar>
        <w:left w:w="108.0" w:type="dxa"/>
        <w:right w:w="108.0" w:type="dxa"/>
      </w:tblCellMar>
    </w:tblPr>
  </w:style>
  <w:style w:type="table" w:styleId="afffffff1" w:customStyle="1">
    <w:basedOn w:val="TableNormale"/>
    <w:tblPr>
      <w:tblStyleRowBandSize w:val="1"/>
      <w:tblStyleColBandSize w:val="1"/>
      <w:tblCellMar>
        <w:left w:w="108.0" w:type="dxa"/>
        <w:right w:w="108.0" w:type="dxa"/>
      </w:tblCellMar>
    </w:tblPr>
  </w:style>
  <w:style w:type="table" w:styleId="afffffff2" w:customStyle="1">
    <w:basedOn w:val="TableNormale"/>
    <w:tblPr>
      <w:tblStyleRowBandSize w:val="1"/>
      <w:tblStyleColBandSize w:val="1"/>
      <w:tblCellMar>
        <w:left w:w="108.0" w:type="dxa"/>
        <w:right w:w="108.0" w:type="dxa"/>
      </w:tblCellMar>
    </w:tblPr>
  </w:style>
  <w:style w:type="table" w:styleId="afffffff3" w:customStyle="1">
    <w:basedOn w:val="TableNormale"/>
    <w:tblPr>
      <w:tblStyleRowBandSize w:val="1"/>
      <w:tblStyleColBandSize w:val="1"/>
      <w:tblCellMar>
        <w:left w:w="108.0" w:type="dxa"/>
        <w:right w:w="108.0" w:type="dxa"/>
      </w:tblCellMar>
    </w:tblPr>
  </w:style>
  <w:style w:type="table" w:styleId="afffffff4" w:customStyle="1">
    <w:basedOn w:val="TableNormale"/>
    <w:tblPr>
      <w:tblStyleRowBandSize w:val="1"/>
      <w:tblStyleColBandSize w:val="1"/>
      <w:tblCellMar>
        <w:left w:w="108.0" w:type="dxa"/>
        <w:right w:w="108.0" w:type="dxa"/>
      </w:tblCellMar>
    </w:tblPr>
  </w:style>
  <w:style w:type="table" w:styleId="afffffff5" w:customStyle="1">
    <w:basedOn w:val="TableNormale"/>
    <w:tblPr>
      <w:tblStyleRowBandSize w:val="1"/>
      <w:tblStyleColBandSize w:val="1"/>
      <w:tblCellMar>
        <w:left w:w="108.0" w:type="dxa"/>
        <w:right w:w="108.0" w:type="dxa"/>
      </w:tblCellMar>
    </w:tblPr>
  </w:style>
  <w:style w:type="table" w:styleId="afffffff6" w:customStyle="1">
    <w:basedOn w:val="TableNormale"/>
    <w:tblPr>
      <w:tblStyleRowBandSize w:val="1"/>
      <w:tblStyleColBandSize w:val="1"/>
      <w:tblCellMar>
        <w:left w:w="108.0" w:type="dxa"/>
        <w:right w:w="108.0" w:type="dxa"/>
      </w:tblCellMar>
    </w:tblPr>
  </w:style>
  <w:style w:type="table" w:styleId="afffffff7" w:customStyle="1">
    <w:basedOn w:val="TableNormale"/>
    <w:tblPr>
      <w:tblStyleRowBandSize w:val="1"/>
      <w:tblStyleColBandSize w:val="1"/>
      <w:tblCellMar>
        <w:left w:w="108.0" w:type="dxa"/>
        <w:right w:w="108.0" w:type="dxa"/>
      </w:tblCellMar>
    </w:tblPr>
  </w:style>
  <w:style w:type="table" w:styleId="afffffff8" w:customStyle="1">
    <w:basedOn w:val="TableNormale"/>
    <w:tblPr>
      <w:tblStyleRowBandSize w:val="1"/>
      <w:tblStyleColBandSize w:val="1"/>
      <w:tblCellMar>
        <w:left w:w="108.0" w:type="dxa"/>
        <w:right w:w="108.0" w:type="dxa"/>
      </w:tblCellMar>
    </w:tblPr>
  </w:style>
  <w:style w:type="table" w:styleId="afffffff9" w:customStyle="1">
    <w:basedOn w:val="TableNormale"/>
    <w:tblPr>
      <w:tblStyleRowBandSize w:val="1"/>
      <w:tblStyleColBandSize w:val="1"/>
      <w:tblCellMar>
        <w:left w:w="108.0" w:type="dxa"/>
        <w:right w:w="108.0" w:type="dxa"/>
      </w:tblCellMar>
    </w:tblPr>
  </w:style>
  <w:style w:type="table" w:styleId="afffffffa" w:customStyle="1">
    <w:basedOn w:val="TableNormale"/>
    <w:tblPr>
      <w:tblStyleRowBandSize w:val="1"/>
      <w:tblStyleColBandSize w:val="1"/>
      <w:tblCellMar>
        <w:left w:w="108.0" w:type="dxa"/>
        <w:right w:w="108.0" w:type="dxa"/>
      </w:tblCellMar>
    </w:tblPr>
  </w:style>
  <w:style w:type="table" w:styleId="afffffffb" w:customStyle="1">
    <w:basedOn w:val="TableNormale"/>
    <w:tblPr>
      <w:tblStyleRowBandSize w:val="1"/>
      <w:tblStyleColBandSize w:val="1"/>
      <w:tblCellMar>
        <w:left w:w="108.0" w:type="dxa"/>
        <w:right w:w="108.0" w:type="dxa"/>
      </w:tblCellMar>
    </w:tblPr>
  </w:style>
  <w:style w:type="table" w:styleId="afffffffc" w:customStyle="1">
    <w:basedOn w:val="TableNormale"/>
    <w:tblPr>
      <w:tblStyleRowBandSize w:val="1"/>
      <w:tblStyleColBandSize w:val="1"/>
      <w:tblCellMar>
        <w:left w:w="108.0" w:type="dxa"/>
        <w:right w:w="108.0" w:type="dxa"/>
      </w:tblCellMar>
    </w:tblPr>
  </w:style>
  <w:style w:type="table" w:styleId="afffffffd" w:customStyle="1">
    <w:basedOn w:val="TableNormale"/>
    <w:tblPr>
      <w:tblStyleRowBandSize w:val="1"/>
      <w:tblStyleColBandSize w:val="1"/>
      <w:tblCellMar>
        <w:left w:w="108.0" w:type="dxa"/>
        <w:right w:w="108.0" w:type="dxa"/>
      </w:tblCellMar>
    </w:tblPr>
  </w:style>
  <w:style w:type="table" w:styleId="afffffffe" w:customStyle="1">
    <w:basedOn w:val="TableNormale"/>
    <w:tblPr>
      <w:tblStyleRowBandSize w:val="1"/>
      <w:tblStyleColBandSize w:val="1"/>
      <w:tblCellMar>
        <w:left w:w="108.0" w:type="dxa"/>
        <w:right w:w="108.0" w:type="dxa"/>
      </w:tblCellMar>
    </w:tblPr>
  </w:style>
  <w:style w:type="table" w:styleId="affffffff" w:customStyle="1">
    <w:basedOn w:val="TableNormale"/>
    <w:tblPr>
      <w:tblStyleRowBandSize w:val="1"/>
      <w:tblStyleColBandSize w:val="1"/>
      <w:tblCellMar>
        <w:left w:w="108.0" w:type="dxa"/>
        <w:right w:w="108.0" w:type="dxa"/>
      </w:tblCellMar>
    </w:tblPr>
  </w:style>
  <w:style w:type="table" w:styleId="affffffff0" w:customStyle="1">
    <w:basedOn w:val="TableNormale"/>
    <w:tblPr>
      <w:tblStyleRowBandSize w:val="1"/>
      <w:tblStyleColBandSize w:val="1"/>
      <w:tblCellMar>
        <w:left w:w="108.0" w:type="dxa"/>
        <w:right w:w="108.0" w:type="dxa"/>
      </w:tblCellMar>
    </w:tblPr>
  </w:style>
  <w:style w:type="table" w:styleId="affffffff1" w:customStyle="1">
    <w:basedOn w:val="TableNormale"/>
    <w:tblPr>
      <w:tblStyleRowBandSize w:val="1"/>
      <w:tblStyleColBandSize w:val="1"/>
      <w:tblCellMar>
        <w:left w:w="108.0" w:type="dxa"/>
        <w:right w:w="108.0" w:type="dxa"/>
      </w:tblCellMar>
    </w:tblPr>
  </w:style>
  <w:style w:type="table" w:styleId="affffffff2" w:customStyle="1">
    <w:basedOn w:val="TableNormale"/>
    <w:tblPr>
      <w:tblStyleRowBandSize w:val="1"/>
      <w:tblStyleColBandSize w:val="1"/>
      <w:tblCellMar>
        <w:left w:w="108.0" w:type="dxa"/>
        <w:right w:w="108.0" w:type="dxa"/>
      </w:tblCellMar>
    </w:tblPr>
  </w:style>
  <w:style w:type="table" w:styleId="affffffff3" w:customStyle="1">
    <w:basedOn w:val="TableNormale"/>
    <w:tblPr>
      <w:tblStyleRowBandSize w:val="1"/>
      <w:tblStyleColBandSize w:val="1"/>
      <w:tblCellMar>
        <w:left w:w="108.0" w:type="dxa"/>
        <w:right w:w="108.0" w:type="dxa"/>
      </w:tblCellMar>
    </w:tblPr>
  </w:style>
  <w:style w:type="table" w:styleId="affffffff4" w:customStyle="1">
    <w:basedOn w:val="TableNormale"/>
    <w:tblPr>
      <w:tblStyleRowBandSize w:val="1"/>
      <w:tblStyleColBandSize w:val="1"/>
      <w:tblCellMar>
        <w:left w:w="108.0" w:type="dxa"/>
        <w:right w:w="108.0" w:type="dxa"/>
      </w:tblCellMar>
    </w:tblPr>
  </w:style>
  <w:style w:type="table" w:styleId="affffffff5" w:customStyle="1">
    <w:basedOn w:val="TableNormale"/>
    <w:tblPr>
      <w:tblStyleRowBandSize w:val="1"/>
      <w:tblStyleColBandSize w:val="1"/>
      <w:tblCellMar>
        <w:left w:w="108.0" w:type="dxa"/>
        <w:right w:w="108.0" w:type="dxa"/>
      </w:tblCellMar>
    </w:tblPr>
  </w:style>
  <w:style w:type="table" w:styleId="affffffff6" w:customStyle="1">
    <w:basedOn w:val="TableNormale"/>
    <w:tblPr>
      <w:tblStyleRowBandSize w:val="1"/>
      <w:tblStyleColBandSize w:val="1"/>
      <w:tblCellMar>
        <w:left w:w="108.0" w:type="dxa"/>
        <w:right w:w="108.0" w:type="dxa"/>
      </w:tblCellMar>
    </w:tblPr>
  </w:style>
  <w:style w:type="table" w:styleId="affffffff7" w:customStyle="1">
    <w:basedOn w:val="TableNormale"/>
    <w:tblPr>
      <w:tblStyleRowBandSize w:val="1"/>
      <w:tblStyleColBandSize w:val="1"/>
      <w:tblCellMar>
        <w:left w:w="108.0" w:type="dxa"/>
        <w:right w:w="108.0" w:type="dxa"/>
      </w:tblCellMar>
    </w:tblPr>
  </w:style>
  <w:style w:type="table" w:styleId="affffffff8" w:customStyle="1">
    <w:basedOn w:val="TableNormale"/>
    <w:tblPr>
      <w:tblStyleRowBandSize w:val="1"/>
      <w:tblStyleColBandSize w:val="1"/>
      <w:tblCellMar>
        <w:left w:w="108.0" w:type="dxa"/>
        <w:right w:w="108.0" w:type="dxa"/>
      </w:tblCellMar>
    </w:tblPr>
  </w:style>
  <w:style w:type="table" w:styleId="affffffff9" w:customStyle="1">
    <w:basedOn w:val="TableNormale"/>
    <w:tblPr>
      <w:tblStyleRowBandSize w:val="1"/>
      <w:tblStyleColBandSize w:val="1"/>
      <w:tblCellMar>
        <w:left w:w="108.0" w:type="dxa"/>
        <w:right w:w="108.0" w:type="dxa"/>
      </w:tblCellMar>
    </w:tblPr>
  </w:style>
  <w:style w:type="table" w:styleId="affffffffa" w:customStyle="1">
    <w:basedOn w:val="TableNormale"/>
    <w:tblPr>
      <w:tblStyleRowBandSize w:val="1"/>
      <w:tblStyleColBandSize w:val="1"/>
      <w:tblCellMar>
        <w:left w:w="108.0" w:type="dxa"/>
        <w:right w:w="108.0" w:type="dxa"/>
      </w:tblCellMar>
    </w:tblPr>
  </w:style>
  <w:style w:type="table" w:styleId="affffffffb" w:customStyle="1">
    <w:basedOn w:val="TableNormale"/>
    <w:tblPr>
      <w:tblStyleRowBandSize w:val="1"/>
      <w:tblStyleColBandSize w:val="1"/>
      <w:tblCellMar>
        <w:left w:w="108.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rbhf9K15ju4c1ZZeviou7syKFg==">CgMxLjAaHwoBMBIaChgICVIUChJ0YWJsZS5udXZmM2NlNnd1eWIaHwoBMRIaChgICVIUChJ0YWJsZS5haTN1b29oNzVyZGYaHwoBMhIaChgICVIUChJ0YWJsZS54dHIwbG40dHZsOGYyDmgubmluN3pycTJ4dDJuMg5oLmVjdGJxMHAwZm8yejIOaC5hcjNsMjk0Nm1wcXI4AHIhMVg3bVQyeWlVNDdwNHloUEFEc2Nkb1AtTkliS25KT010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2021-10-19T12:25:00Z</dcterms:created>
  <dc:creator>Almacen</dc:creator>
</cp:coreProperties>
</file>