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2e75b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5b5"/>
          <w:sz w:val="24"/>
          <w:szCs w:val="24"/>
          <w:u w:val="none"/>
          <w:shd w:fill="auto" w:val="clear"/>
          <w:vertAlign w:val="baseline"/>
          <w:rtl w:val="0"/>
        </w:rPr>
        <w:t xml:space="preserve">Contenido</w:t>
      </w:r>
    </w:p>
    <w:p w:rsidR="00000000" w:rsidDel="00000000" w:rsidP="00000000" w:rsidRDefault="00000000" w:rsidRPr="00000000" w14:paraId="00000002">
      <w:pPr>
        <w:rPr>
          <w:rFonts w:ascii="Arial" w:cs="Arial" w:eastAsia="Arial" w:hAnsi="Arial"/>
        </w:rPr>
      </w:pPr>
      <w:r w:rsidDel="00000000" w:rsidR="00000000" w:rsidRPr="00000000">
        <w:rPr>
          <w:rtl w:val="0"/>
        </w:rPr>
      </w:r>
    </w:p>
    <w:sdt>
      <w:sdtPr>
        <w:id w:val="96271559"/>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gjdg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rtl w:val="0"/>
            </w:rPr>
            <w:t xml:space="preserve">CARACTERÍSTICAS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 HISTORIA CLÍNICA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GENERALIDADES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4"/>
            </w:tabs>
            <w:spacing w:after="100" w:before="0" w:line="240" w:lineRule="auto"/>
            <w:ind w:left="2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hyperlink>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 la historia clínica.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4"/>
            </w:tabs>
            <w:spacing w:after="100" w:before="0" w:line="240" w:lineRule="auto"/>
            <w:ind w:left="2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hyperlink>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Propósitos de la historia clínica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4"/>
            </w:tabs>
            <w:spacing w:after="100" w:before="0" w:line="240" w:lineRule="auto"/>
            <w:ind w:left="2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w:t>
            </w:r>
          </w:hyperlink>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Terceros autorizados para conocer la historia clínica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4"/>
            </w:tabs>
            <w:spacing w:after="100" w:before="0" w:line="240" w:lineRule="auto"/>
            <w:ind w:left="2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w:t>
            </w:r>
          </w:hyperlink>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Trascendencia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APERTURA E IDENTIFICACIÓN DE LA HISTORIA CLÍNICA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DILIGENCIAMIENTO DE HISTORIA CLÍNICA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heading=h.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hyperlink>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ALMACENAMIENTO O ARCHIVO DE LA HISTORIA CLÍNICA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CONFIDENCIALIDAD Y SEGURIDAD</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hyperlink w:anchor="_heading=h.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CUSTODIA DE LA HISTORIA CLÍNICA.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TRÁMITES INTERNOS, CONTROL DE PRÉSTAMO.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94"/>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hyperlink w:anchor="_heading=h.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DOCUMENTOS RELACIONADOS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tabs>
          <w:tab w:val="left" w:leader="none" w:pos="284"/>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284"/>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tabs>
          <w:tab w:val="left" w:leader="none" w:pos="284"/>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el correcto diligenciamiento de las historias clínicas dentro d</w:t>
      </w:r>
      <w:r w:rsidDel="00000000" w:rsidR="00000000" w:rsidRPr="00000000">
        <w:rPr>
          <w:rFonts w:ascii="Arial" w:cs="Arial" w:eastAsia="Arial" w:hAnsi="Arial"/>
          <w:rtl w:val="0"/>
        </w:rPr>
        <w:t xml:space="preserve">e la IPS Endocrinology &amp; Health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cumpliendo con los lineamientos establecidos por la normatividad vigente, con el fin de asegurar un manejo apropiado, contribuyendo así con un servicio seguro.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manual aplica a todo el procedimiento relacionado con la apertura, diligenciamiento, archivo y custodia de la Historia Clínica y debe ser seguido por el profesional de la salud.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w:t>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Historia Clínica: es un documento privado, obligatorio y sometido a reserva, en el cual se registran cronológicamente las condiciones de salud del paciente, los actos médicos y los demás procedimientos ejecutados por el equipo de salud que interviene en su atención. Dicho documento únicamente puede ser conocido por terceros previa autorización del paciente o en los casos previstos por la ley.</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Estado de salud: El estado de salud del paciente se registra en los datos e informes acerca de la condición somática, psíquica, social, cultural, económica y medioambiental</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que pueden incidir en la salud del usuario.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Equipo de Salud: Son los Profesionales, Técnicos y Auxiliares del área de la salud que realizan la atención clínico asistencial directa del Usuario y los Auditores Médicos de Aseguradoras y Prestadores responsables de la evaluación de la calidad del servicio brindado.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Historia Clínica para efectos archivísticos: Se entiende como el expediente conformado por el conjunto de documentos en los que se efectúa el registro obligatorio del estado de salud, los actos médicos y demás procedimientos ejecutados por el equipo de salud que interviene en la atención de un paciente, el cual también tiene el carácter de reservado.</w:t>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Archivo de Gestión: Es aquel donde reposan las Historias Clínicas de los Usuarios activos y de los que no han utilizado el servicio durante los cinco años siguientes a la última atención.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Archivo Central: Es aquel donde reposan las Historias Clínicas de los Usuarios que no</w:t>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volvieron a usar los servicios de atención en salud del prestador, transcurridos 5 años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desde la última atención.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Archivo Histórico: Es aquel al cual se transfieren las Historias Clínicas que por su valor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científico, histórico o cultural, deben ser conservadas permanentemente.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DE LA HISTORIA CLÍNICA </w:t>
      </w:r>
    </w:p>
    <w:p w:rsidR="00000000" w:rsidDel="00000000" w:rsidP="00000000" w:rsidRDefault="00000000" w:rsidRPr="00000000" w14:paraId="0000003C">
      <w:pPr>
        <w:jc w:val="both"/>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Las características básicas son:</w:t>
      </w:r>
    </w:p>
    <w:p w:rsidR="00000000" w:rsidDel="00000000" w:rsidP="00000000" w:rsidRDefault="00000000" w:rsidRPr="00000000" w14:paraId="0000003E">
      <w:pPr>
        <w:jc w:val="both"/>
        <w:rPr>
          <w:rFonts w:ascii="Arial" w:cs="Arial" w:eastAsia="Arial" w:hAnsi="Arial"/>
        </w:rPr>
      </w:pPr>
      <w:r w:rsidDel="00000000" w:rsidR="00000000" w:rsidRPr="00000000">
        <w:rPr>
          <w:rtl w:val="0"/>
        </w:rPr>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Integralidad: La historia clínica de un usuario debe reunir la información de los aspectos científicos, técnicos y administrativos relativos a la atención en salud en las fases de fomento, promoción de la salud, prevención específica, diagnóstico, tratamiento y rehabilitación de la enfermedad, abordando a dicho usuario como un todo en sus aspectos biológico, psicológico y social, e interrelacionado con sus dimensiones personal, familiar y comunitaria.</w:t>
      </w:r>
    </w:p>
    <w:p w:rsidR="00000000" w:rsidDel="00000000" w:rsidP="00000000" w:rsidRDefault="00000000" w:rsidRPr="00000000" w14:paraId="00000040">
      <w:pPr>
        <w:jc w:val="both"/>
        <w:rPr>
          <w:rFonts w:ascii="Arial" w:cs="Arial" w:eastAsia="Arial" w:hAnsi="Arial"/>
        </w:rPr>
      </w:pPr>
      <w:r w:rsidDel="00000000" w:rsidR="00000000" w:rsidRPr="00000000">
        <w:rPr>
          <w:rtl w:val="0"/>
        </w:rPr>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Secuencialidad: Los registros de la prestación de los servicios en salud deben consignarse en la secuencia cronológica en que ocurrió la atención. Desde el punto de vista archivístico la historia clínica es un expediente que de manera cronológica debe acumular documentos relativos a la prestación de servicios de salud brindados al usuario.</w:t>
      </w:r>
    </w:p>
    <w:p w:rsidR="00000000" w:rsidDel="00000000" w:rsidP="00000000" w:rsidRDefault="00000000" w:rsidRPr="00000000" w14:paraId="00000042">
      <w:pPr>
        <w:jc w:val="both"/>
        <w:rPr>
          <w:rFonts w:ascii="Arial" w:cs="Arial" w:eastAsia="Arial" w:hAnsi="Arial"/>
        </w:rPr>
      </w:pPr>
      <w:r w:rsidDel="00000000" w:rsidR="00000000" w:rsidRPr="00000000">
        <w:rPr>
          <w:rtl w:val="0"/>
        </w:rPr>
      </w:r>
    </w:p>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Racionalidad científica: Es la aplicación de criterios científicos en el diligenciamiento y registro de las acciones en salud brindadas a un usuario, de modo que evidencie en forma lógica, clara y completa, el procedimiento que se realizó en la investigación de las condiciones de salud del paciente, diagnóstico y plan de manejo.</w:t>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Disponibilidad: Es la posibilidad de utilizar la historia clínica en el momento en que se necesita, con las limitaciones que impone la Ley.</w:t>
      </w:r>
    </w:p>
    <w:p w:rsidR="00000000" w:rsidDel="00000000" w:rsidP="00000000" w:rsidRDefault="00000000" w:rsidRPr="00000000" w14:paraId="00000046">
      <w:pPr>
        <w:jc w:val="both"/>
        <w:rPr>
          <w:rFonts w:ascii="Arial" w:cs="Arial" w:eastAsia="Arial" w:hAnsi="Arial"/>
        </w:rPr>
      </w:pPr>
      <w:r w:rsidDel="00000000" w:rsidR="00000000" w:rsidRPr="00000000">
        <w:rPr>
          <w:rtl w:val="0"/>
        </w:rPr>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Oportunidad: Es el diligenciamiento de los registros de atención de la historia clínica, simultánea o inmediatamente después de que ocurre la prestación del servicio.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GENERALIDADES</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La Historia Clínica debe diligenciarse en forma clara, legible, sin tachones, enmendaduras, intercalaciones, sin dejar espacios en blanco y sin utilizar siglas. Cada anotación debe llevar la fecha y hora en la que se realiza, con el nombre completo y firma del autor de la misma.</w:t>
      </w:r>
    </w:p>
    <w:p w:rsidR="00000000" w:rsidDel="00000000" w:rsidP="00000000" w:rsidRDefault="00000000" w:rsidRPr="00000000" w14:paraId="0000004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de la historia clínica.</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datos e información de los procesos de la atención en salud.</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Servir de documento base para la investigación en salud, para evaluar la eficacia y eficiencia de los servicios prestados.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Obtener información de los procesos clínicos y quirúrgicos a los que haya sido sometido el paciente.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Servir de elemento fundamental de análisis para los comités de historias clínicas, de calidad y de </w:t>
      </w:r>
      <w:r w:rsidDel="00000000" w:rsidR="00000000" w:rsidRPr="00000000">
        <w:rPr>
          <w:rFonts w:ascii="Arial" w:cs="Arial" w:eastAsia="Arial" w:hAnsi="Arial"/>
          <w:rtl w:val="0"/>
        </w:rPr>
        <w:t xml:space="preserve">auditoría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médica.</w:t>
      </w:r>
    </w:p>
    <w:p w:rsidR="00000000" w:rsidDel="00000000" w:rsidP="00000000" w:rsidRDefault="00000000" w:rsidRPr="00000000" w14:paraId="00000051">
      <w:pPr>
        <w:tabs>
          <w:tab w:val="left" w:leader="none" w:pos="284"/>
          <w:tab w:val="left" w:leader="none" w:pos="426"/>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Propósitos de la historia clínica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la calidad en los servicios prestados.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la productividad institucional.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Optimar el servicio  mediante la seguridad de los usuarios y continuidad de los mismos.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567"/>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Actuar dentro de un marco legal que garantice la protección institucional del equipo de salud y del usuario.</w:t>
      </w:r>
    </w:p>
    <w:p w:rsidR="00000000" w:rsidDel="00000000" w:rsidP="00000000" w:rsidRDefault="00000000" w:rsidRPr="00000000" w14:paraId="00000057">
      <w:pPr>
        <w:tabs>
          <w:tab w:val="left" w:leader="none" w:pos="284"/>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Terceros autorizados para conocer la historia clínica</w:t>
      </w:r>
    </w:p>
    <w:p w:rsidR="00000000" w:rsidDel="00000000" w:rsidP="00000000" w:rsidRDefault="00000000" w:rsidRPr="00000000" w14:paraId="00000059">
      <w:pPr>
        <w:numPr>
          <w:ilvl w:val="0"/>
          <w:numId w:val="3"/>
        </w:numPr>
        <w:tabs>
          <w:tab w:val="left" w:leader="none" w:pos="284"/>
        </w:tabs>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Las autoridades judiciales y de control, cuando la requieran como medio probatorio para tomar decisiones en las investigaciones que adelantan en ejercicio de sus funciones constitucionales y legales (Art 34, Ley 23/81). </w:t>
      </w:r>
      <w:r w:rsidDel="00000000" w:rsidR="00000000" w:rsidRPr="00000000">
        <w:rPr>
          <w:rtl w:val="0"/>
        </w:rPr>
      </w:r>
    </w:p>
    <w:p w:rsidR="00000000" w:rsidDel="00000000" w:rsidP="00000000" w:rsidRDefault="00000000" w:rsidRPr="00000000" w14:paraId="0000005A">
      <w:pPr>
        <w:numPr>
          <w:ilvl w:val="0"/>
          <w:numId w:val="3"/>
        </w:numPr>
        <w:tabs>
          <w:tab w:val="left" w:leader="none" w:pos="284"/>
        </w:tabs>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Superintendencia Nacional de Salud y las direcciones seccionales, municipales y locales de salud, en cumplimiento de su función pública de inspección, vigilancia y control de la calidad de la atención en salud (Art 34, Ley 23 / 81). El equipo de salud, (Art 23, Decreto 3380/81 y Resolución 1995/99).</w:t>
      </w:r>
      <w:r w:rsidDel="00000000" w:rsidR="00000000" w:rsidRPr="00000000">
        <w:rPr>
          <w:rtl w:val="0"/>
        </w:rPr>
      </w:r>
    </w:p>
    <w:p w:rsidR="00000000" w:rsidDel="00000000" w:rsidP="00000000" w:rsidRDefault="00000000" w:rsidRPr="00000000" w14:paraId="0000005B">
      <w:pPr>
        <w:numPr>
          <w:ilvl w:val="0"/>
          <w:numId w:val="3"/>
        </w:numPr>
        <w:tabs>
          <w:tab w:val="left" w:leader="none" w:pos="284"/>
        </w:tabs>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investigadores en ciencias de la salud, para consulta y apoyo de trabajos médicos, (Art 61, Ley 23/81 y Art 30 Decreto 3380/81). </w:t>
      </w:r>
      <w:r w:rsidDel="00000000" w:rsidR="00000000" w:rsidRPr="00000000">
        <w:rPr>
          <w:rtl w:val="0"/>
        </w:rPr>
      </w:r>
    </w:p>
    <w:p w:rsidR="00000000" w:rsidDel="00000000" w:rsidP="00000000" w:rsidRDefault="00000000" w:rsidRPr="00000000" w14:paraId="0000005C">
      <w:pPr>
        <w:numPr>
          <w:ilvl w:val="0"/>
          <w:numId w:val="3"/>
        </w:numPr>
        <w:tabs>
          <w:tab w:val="left" w:leader="none" w:pos="284"/>
        </w:tabs>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tribunales de Ética Médica (Ley 23/81).</w:t>
      </w:r>
      <w:r w:rsidDel="00000000" w:rsidR="00000000" w:rsidRPr="00000000">
        <w:rPr>
          <w:rtl w:val="0"/>
        </w:rPr>
      </w:r>
    </w:p>
    <w:p w:rsidR="00000000" w:rsidDel="00000000" w:rsidP="00000000" w:rsidRDefault="00000000" w:rsidRPr="00000000" w14:paraId="0000005D">
      <w:pPr>
        <w:numPr>
          <w:ilvl w:val="0"/>
          <w:numId w:val="3"/>
        </w:numPr>
        <w:tabs>
          <w:tab w:val="left" w:leader="none" w:pos="284"/>
        </w:tabs>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paciente y los familiares que él expresamente autorice, (Art 38, Ley 23/81).</w:t>
      </w:r>
      <w:r w:rsidDel="00000000" w:rsidR="00000000" w:rsidRPr="00000000">
        <w:rPr>
          <w:rtl w:val="0"/>
        </w:rPr>
      </w:r>
    </w:p>
    <w:p w:rsidR="00000000" w:rsidDel="00000000" w:rsidP="00000000" w:rsidRDefault="00000000" w:rsidRPr="00000000" w14:paraId="0000005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Trascendencia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Historia Clínica es un documento de obligatorio cumplimiento para todos los prestadores de servicios de salud y demás personas naturales o jurídicas que se relacionen con la atención en salud y por tanto involucra a todo el personal que intervenga en dicha atención.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profesionales, técnicos y auxiliares que intervienen directamente en la atención a un usuario, tienen la obligación de registrar sus observaciones, conceptos, decisiones y resultados de las acciones en salud desarrolladas.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APERTURA E IDENTIFICACIÓN DE LA HISTORIA CLÍNICA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Para la apertura e identificación de la historia clínica, durante la atención por primera vez a un usuario se deben solicitar el documento de identificación original, la identificación de la historia clínica se hará con el número de la cédula de ciudadanía para los mayores de edad; el número de la tarjeta de identidad para los menores de edad mayores de siete años, y el número del registro civil para los menores de siete años. Para los extranjeros con el número de pasaporte o cédula de extranjería. En el caso en que no exista documento de identidad de los menores de edad, se utilizará el número de la cédula de ciudadanía de la madre, o el del padre en ausencia de ésta, seguido de un número consecutivo de acuerdo al número de orden del menor en el grupo familiar.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rtl w:val="0"/>
        </w:rPr>
        <w:t xml:space="preserve">n la institución Endocrinology &amp; Health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cuenta con una historia clínica, la cual es llevada a través de </w:t>
      </w:r>
      <w:r w:rsidDel="00000000" w:rsidR="00000000" w:rsidRPr="00000000">
        <w:rPr>
          <w:rFonts w:ascii="Arial" w:cs="Arial" w:eastAsia="Arial" w:hAnsi="Arial"/>
          <w:rtl w:val="0"/>
        </w:rPr>
        <w:t xml:space="preserve">SALUDTOOLS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DILIGENCIAMIENTO DE HISTORIA CLÍNICA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no realización del registro de la Historia Clínica se considera una falta grave del profesional y no existen disculpas que lo justifiquen; esto impide sustentar alegatos de exoneración en defensa del profesional o de la Institución en caso de demandas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Historia Clínica debe diligenciarse, de ser realizada a mano, en forma clara, legible, sin tachones, enmendaduras, intercalaciones, sin dejar espacios en blanco y sin utilizar siglas. Cada anotación debe llevar la fecha y hora en la que se realiza, con el nombre completo y firma del autor de la misma. Las normas de diligenciamiento de historia clínica trascienden a los registros clínicos y anexos a la historia.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diligenciamiento de la historia, implica </w:t>
      </w:r>
      <w:r w:rsidDel="00000000" w:rsidR="00000000" w:rsidRPr="00000000">
        <w:rPr>
          <w:rFonts w:ascii="Arial" w:cs="Arial" w:eastAsia="Arial" w:hAnsi="Arial"/>
          <w:rtl w:val="0"/>
        </w:rPr>
        <w:t xml:space="preserve">que todo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paciente debe quedar debidamente ingresado y con todos los datos requeridos para su atención además de asegurar que todas sus atenciones queden en su historial para así tener trazabilidad clínica.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ALMACENAMIENTO O ARCHIVO DE LA HISTORIA CLÍNICA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historia clínica debe retenerse y conservarse por el responsable de su custodia, por un periodo mínimo de quince (15) años, contados a partir de la fecha de la última atención. La conservación en el caso </w:t>
      </w:r>
      <w:r w:rsidDel="00000000" w:rsidR="00000000" w:rsidRPr="00000000">
        <w:rPr>
          <w:rFonts w:ascii="Arial" w:cs="Arial" w:eastAsia="Arial" w:hAnsi="Arial"/>
          <w:rtl w:val="0"/>
        </w:rPr>
        <w:t xml:space="preserve">de la ips Endocrinology &amp; Health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hará a través del </w:t>
      </w:r>
      <w:r w:rsidDel="00000000" w:rsidR="00000000" w:rsidRPr="00000000">
        <w:rPr>
          <w:rFonts w:ascii="Arial" w:cs="Arial" w:eastAsia="Arial" w:hAnsi="Arial"/>
          <w:rtl w:val="0"/>
        </w:rPr>
        <w:t xml:space="preserve">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rtl w:val="0"/>
        </w:rPr>
        <w:t xml:space="preserve">SALUDTOOLS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 adoptado la </w:t>
      </w:r>
      <w:r w:rsidDel="00000000" w:rsidR="00000000" w:rsidRPr="00000000">
        <w:rPr>
          <w:rFonts w:ascii="Arial" w:cs="Arial" w:eastAsia="Arial" w:hAnsi="Arial"/>
          <w:rtl w:val="0"/>
        </w:rPr>
        <w:t xml:space="preserve">utilización de medios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físicos y magnéticos, atendiendo lo establecido en la circular 2 de 1997 expedida por el Archivo General de la Nación, o las normas que la modifiquen o adicionen. Tanto los programas automatizados implementados para el manejo de las Historias Clínicas, como los equipos y soportes documentales, están provistos de mecanismos de seguridad, que imposibilitan la incorporación de modificaciones a la Historia Clínica una vez se registren y guarden los datos.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w:t>
      </w:r>
      <w:r w:rsidDel="00000000" w:rsidR="00000000" w:rsidRPr="00000000">
        <w:rPr>
          <w:rFonts w:ascii="Arial" w:cs="Arial" w:eastAsia="Arial" w:hAnsi="Arial"/>
          <w:rtl w:val="0"/>
        </w:rPr>
        <w:t xml:space="preserve">garantiza la protección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 reserva de la historia clínica mediante mecanismos que impiden el acceso de personal no autorizado para conocerla y adopción de medidas tendientes a evitar la destrucción de los registros en forma accidental o provocada. </w:t>
      </w:r>
      <w:r w:rsidDel="00000000" w:rsidR="00000000" w:rsidRPr="00000000">
        <w:rPr>
          <w:rFonts w:ascii="Arial" w:cs="Arial" w:eastAsia="Arial" w:hAnsi="Arial"/>
          <w:rtl w:val="0"/>
        </w:rPr>
        <w:t xml:space="preserve">SALUDTOOLS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emplea </w:t>
      </w:r>
      <w:r w:rsidDel="00000000" w:rsidR="00000000" w:rsidRPr="00000000">
        <w:rPr>
          <w:rFonts w:ascii="Arial" w:cs="Arial" w:eastAsia="Arial" w:hAnsi="Arial"/>
          <w:rtl w:val="0"/>
        </w:rPr>
        <w:t xml:space="preserve">mecanismos de seguridad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control de acceso a la aplicación, según tipo de usuario.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CONFIDENCIALIDAD Y SEGURIDAD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both"/>
        <w:rPr>
          <w:rFonts w:ascii="Arial" w:cs="Arial" w:eastAsia="Arial" w:hAnsi="Arial"/>
        </w:rPr>
      </w:pPr>
      <w:bookmarkStart w:colFirst="0" w:colLast="0" w:name="_heading=h.35nkun2" w:id="14"/>
      <w:bookmarkEnd w:id="14"/>
      <w:r w:rsidDel="00000000" w:rsidR="00000000" w:rsidRPr="00000000">
        <w:rPr>
          <w:rFonts w:ascii="Arial" w:cs="Arial" w:eastAsia="Arial" w:hAnsi="Arial"/>
          <w:rtl w:val="0"/>
        </w:rPr>
        <w:t xml:space="preserve">El Endocrinology &amp; Health archiva la historia clínica en el software de SALUDTOOLS como se describió anteriormente, además solo se podrá ingresar a través de un usuario y contraseña brindando seguridad y acceso a las historias clínicas solo al personal autorizado. Brindando confidencialidad y no permitiendo la modificación de la información.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CUSTODIA DE LA HISTORIA CLÍNICA.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custodia de la Historia Clínica es responsabilidad de</w:t>
      </w:r>
      <w:r w:rsidDel="00000000" w:rsidR="00000000" w:rsidRPr="00000000">
        <w:rPr>
          <w:rFonts w:ascii="Arial" w:cs="Arial" w:eastAsia="Arial" w:hAnsi="Arial"/>
          <w:rtl w:val="0"/>
        </w:rPr>
        <w:t xml:space="preserve">l Endocrinology &amp; Health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quien la genera en el curso de la atención, cumpliendo los procedimientos de archivo. El acceso a la historia clínica, se realiza en los términos previstos en la Ley, es decir </w:t>
      </w:r>
      <w:r w:rsidDel="00000000" w:rsidR="00000000" w:rsidRPr="00000000">
        <w:rPr>
          <w:rFonts w:ascii="Arial" w:cs="Arial" w:eastAsia="Arial" w:hAnsi="Arial"/>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usuario</w:t>
      </w:r>
      <w:r w:rsidDel="00000000" w:rsidR="00000000" w:rsidRPr="00000000">
        <w:rPr>
          <w:rFonts w:ascii="Arial" w:cs="Arial" w:eastAsia="Arial" w:hAnsi="Arial"/>
          <w:rtl w:val="0"/>
        </w:rPr>
        <w:t xml:space="preserve"> y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w:t>
      </w:r>
      <w:r w:rsidDel="00000000" w:rsidR="00000000" w:rsidRPr="00000000">
        <w:rPr>
          <w:rFonts w:ascii="Arial" w:cs="Arial" w:eastAsia="Arial" w:hAnsi="Arial"/>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quipo de Salud, Las autoridades judiciales y de Salud en los casos previstos en la Ley, Las demás personas determinadas en la ley. </w:t>
      </w:r>
    </w:p>
    <w:p w:rsidR="00000000" w:rsidDel="00000000" w:rsidP="00000000" w:rsidRDefault="00000000" w:rsidRPr="00000000" w14:paraId="0000007B">
      <w:pPr>
        <w:tabs>
          <w:tab w:val="left" w:leader="none" w:pos="284"/>
          <w:tab w:val="left" w:leader="none" w:pos="851"/>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TRÁMITES INTERNOS, CONTROL DE PRÉSTAMO.</w:t>
      </w:r>
    </w:p>
    <w:p w:rsidR="00000000" w:rsidDel="00000000" w:rsidP="00000000" w:rsidRDefault="00000000" w:rsidRPr="00000000" w14:paraId="0000007D">
      <w:pPr>
        <w:tabs>
          <w:tab w:val="left" w:leader="none" w:pos="284"/>
        </w:tabs>
        <w:spacing w:line="276" w:lineRule="auto"/>
        <w:jc w:val="both"/>
        <w:rPr>
          <w:rFonts w:ascii="Arial" w:cs="Arial" w:eastAsia="Arial" w:hAnsi="Arial"/>
        </w:rPr>
      </w:pPr>
      <w:r w:rsidDel="00000000" w:rsidR="00000000" w:rsidRPr="00000000">
        <w:rPr>
          <w:rFonts w:ascii="Arial" w:cs="Arial" w:eastAsia="Arial" w:hAnsi="Arial"/>
          <w:rtl w:val="0"/>
        </w:rPr>
        <w:t xml:space="preserve">Para trámites internos como contestación de demandas, tutelas, objeciones o glosas se permitirá el acceso a las Historias clínicas al Gerente o a quien el responsable de proceso considere necesario. Si se requiere copia de la historia, esta deberá ser realizada solo por el responsable.</w:t>
      </w:r>
    </w:p>
    <w:p w:rsidR="00000000" w:rsidDel="00000000" w:rsidP="00000000" w:rsidRDefault="00000000" w:rsidRPr="00000000" w14:paraId="0000007E">
      <w:pPr>
        <w:tabs>
          <w:tab w:val="left" w:leader="none" w:pos="284"/>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procedimiento de entrega de documentos debe efectuarse mediante verificación del documento de identidad de quien reclama la historia.  Para solicitud de entidades legales o judiciales establecidas en la norma, se debe requerir la carta de solicitud formal dirigida a la organización especificando el motivo del requerimiento y verificar la fecha de la misma.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autorización a terceros para reclamar copia de la historia clínica, se debe solicitar carta de autorización firmada por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con copia del documento de identidad del mismo y de quien reclama la historia. En caso de que sea fallecido solamente se podrá solicitar por medio de la Superintendencia Nacional de Salud, juzgados, fiscalías y por asegurados adjuntando póliza en donde el paciente firma el derecho que tiene la aseguradora a ver la historia clínica.</w:t>
      </w:r>
    </w:p>
    <w:p w:rsidR="00000000" w:rsidDel="00000000" w:rsidP="00000000" w:rsidRDefault="00000000" w:rsidRPr="00000000" w14:paraId="00000082">
      <w:pPr>
        <w:tabs>
          <w:tab w:val="left" w:leader="none" w:pos="284"/>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heading=h.2jxsxqh" w:id="17"/>
      <w:bookmarkEnd w:id="17"/>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PLAN DE CONTINGENCIA</w:t>
      </w: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tl w:val="0"/>
        </w:rPr>
      </w:r>
    </w:p>
    <w:p w:rsidR="00000000" w:rsidDel="00000000" w:rsidP="00000000" w:rsidRDefault="00000000" w:rsidRPr="00000000" w14:paraId="00000086">
      <w:pPr>
        <w:tabs>
          <w:tab w:val="left" w:leader="none" w:pos="284"/>
        </w:tabs>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En caso de presentarse inconvenientes con el software de las Historias Clínicas, se deberá dejar registro de los procedimientos realizados en medio físico, el cual será archivado y luego digitalizado para garantizar la pertinencia de las notas clínicas. </w:t>
      </w:r>
      <w:r w:rsidDel="00000000" w:rsidR="00000000" w:rsidRPr="00000000">
        <w:rPr>
          <w:rtl w:val="0"/>
        </w:rPr>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keepNext w:val="1"/>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ANEXOS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993"/>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documentos anexos a la Historia Clínica que sirven como sustento legal, técnico, científico y/o administrativo de las acciones realizadas al usuario en los procesos de atención, tales contenidos en la historia son: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 w:val="left" w:leader="none" w:pos="993"/>
        </w:tabs>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Consentimiento Informado</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DOCUMENTOS RELACIONADOS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Consentimiento informado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Certificado de </w:t>
      </w:r>
      <w:r w:rsidDel="00000000" w:rsidR="00000000" w:rsidRPr="00000000">
        <w:rPr>
          <w:rFonts w:ascii="Arial" w:cs="Arial" w:eastAsia="Arial" w:hAnsi="Arial"/>
          <w:rtl w:val="0"/>
        </w:rPr>
        <w:t xml:space="preserve">SALUDTOOLS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even"/>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ind w:left="708" w:firstLine="708"/>
      <w:rPr>
        <w:rFonts w:ascii="Tahoma" w:cs="Tahoma" w:eastAsia="Tahoma" w:hAnsi="Tahoma"/>
        <w:sz w:val="14"/>
        <w:szCs w:val="1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4"/>
        <w:szCs w:val="14"/>
      </w:rPr>
    </w:pPr>
    <w:r w:rsidDel="00000000" w:rsidR="00000000" w:rsidRPr="00000000">
      <w:rPr>
        <w:rtl w:val="0"/>
      </w:rPr>
    </w:r>
  </w:p>
  <w:tbl>
    <w:tblPr>
      <w:tblStyle w:val="Table1"/>
      <w:tblW w:w="940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310"/>
      <w:gridCol w:w="4455"/>
      <w:gridCol w:w="2640"/>
      <w:tblGridChange w:id="0">
        <w:tblGrid>
          <w:gridCol w:w="2310"/>
          <w:gridCol w:w="4455"/>
          <w:gridCol w:w="2640"/>
        </w:tblGrid>
      </w:tblGridChange>
    </w:tblGrid>
    <w:tr>
      <w:trPr>
        <w:cantSplit w:val="0"/>
        <w:trHeight w:val="983" w:hRule="atLeast"/>
        <w:tblHeader w:val="0"/>
      </w:trPr>
      <w:tc>
        <w:tcPr/>
        <w:p w:rsidR="00000000" w:rsidDel="00000000" w:rsidP="00000000" w:rsidRDefault="00000000" w:rsidRPr="00000000" w14:paraId="00000093">
          <w:pPr>
            <w:jc w:val="center"/>
            <w:rPr>
              <w:rFonts w:ascii="Arial" w:cs="Arial" w:eastAsia="Arial" w:hAnsi="Arial"/>
              <w:b w:val="1"/>
              <w:bCs w:val="1"/>
            </w:rPr>
          </w:pPr>
          <w:r w:rsidDel="00000000" w:rsidR="00000000" w:rsidRPr="00000000">
            <w:rPr>
              <w:rFonts w:ascii="Arial" w:cs="Arial" w:eastAsia="Arial" w:hAnsi="Arial"/>
              <w:b w:val="1"/>
              <w:bCs w:val="1"/>
              <w:sz w:val="22"/>
              <w:szCs w:val="22"/>
            </w:rPr>
            <w:drawing>
              <wp:inline distB="114300" distT="114300" distL="114300" distR="114300">
                <wp:extent cx="1504950" cy="8509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495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MANUAL DE DILIGENCIAMIENTO DE</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CLÍNICA</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w:t>
          </w:r>
          <w:r w:rsidDel="00000000" w:rsidR="00000000" w:rsidRPr="00000000">
            <w:rPr>
              <w:rFonts w:ascii="Arial" w:cs="Arial" w:eastAsia="Arial" w:hAnsi="Arial"/>
              <w:b w:val="1"/>
              <w:bCs w:val="1"/>
              <w:sz w:val="23"/>
              <w:szCs w:val="23"/>
              <w:highlight w:val="white"/>
              <w:rtl w:val="0"/>
            </w:rPr>
            <w:t xml:space="preserve">EH-D-004</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Emisión: Ago 2025 </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Versión: 2</w:t>
          </w:r>
        </w:p>
      </w:tc>
    </w:tr>
  </w:tbl>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rPr>
  </w:style>
  <w:style w:type="paragraph" w:styleId="Heading3">
    <w:name w:val="heading 3"/>
    <w:basedOn w:val="Normal"/>
    <w:next w:val="Normal"/>
    <w:pPr>
      <w:keepNext w:val="1"/>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ind w:left="432"/>
      <w:jc w:val="both"/>
    </w:pPr>
    <w:rPr>
      <w:b w:val="1"/>
      <w:b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rPr>
  </w:style>
  <w:style w:type="paragraph" w:styleId="Heading2">
    <w:name w:val="heading 2"/>
    <w:basedOn w:val="Normal"/>
    <w:next w:val="Normal"/>
    <w:pPr>
      <w:keepNext w:val="1"/>
      <w:spacing w:after="60" w:before="240" w:lineRule="auto"/>
    </w:pPr>
    <w:rPr>
      <w:rFonts w:ascii="Arial" w:cs="Arial" w:eastAsia="Arial" w:hAnsi="Arial"/>
      <w:b w:val="1"/>
    </w:rPr>
  </w:style>
  <w:style w:type="paragraph" w:styleId="Heading3">
    <w:name w:val="heading 3"/>
    <w:basedOn w:val="Normal"/>
    <w:next w:val="Normal"/>
    <w:pPr>
      <w:keepNext w:val="1"/>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ind w:left="432"/>
      <w:jc w:val="both"/>
    </w:pPr>
    <w:rPr>
      <w:b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rPr>
  </w:style>
  <w:style w:type="paragraph" w:styleId="Heading2">
    <w:name w:val="heading 2"/>
    <w:basedOn w:val="Normal"/>
    <w:next w:val="Normal"/>
    <w:pPr>
      <w:keepNext w:val="1"/>
      <w:spacing w:after="60" w:before="240" w:lineRule="auto"/>
    </w:pPr>
    <w:rPr>
      <w:rFonts w:ascii="Arial" w:cs="Arial" w:eastAsia="Arial" w:hAnsi="Arial"/>
      <w:b w:val="1"/>
    </w:rPr>
  </w:style>
  <w:style w:type="paragraph" w:styleId="Heading3">
    <w:name w:val="heading 3"/>
    <w:basedOn w:val="Normal"/>
    <w:next w:val="Normal"/>
    <w:pPr>
      <w:keepNext w:val="1"/>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tabs>
        <w:tab w:val="left" w:pos="432"/>
        <w:tab w:val="left" w:pos="720"/>
        <w:tab w:val="left" w:pos="1440"/>
        <w:tab w:val="left" w:pos="2160"/>
        <w:tab w:val="left" w:pos="2880"/>
        <w:tab w:val="left" w:pos="3600"/>
        <w:tab w:val="left" w:pos="4320"/>
        <w:tab w:val="left" w:pos="5040"/>
        <w:tab w:val="left" w:pos="5760"/>
        <w:tab w:val="left" w:pos="6480"/>
        <w:tab w:val="left" w:pos="7200"/>
      </w:tabs>
      <w:ind w:left="432"/>
      <w:jc w:val="both"/>
    </w:pPr>
    <w:rPr>
      <w:b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rPr>
  </w:style>
  <w:style w:type="paragraph" w:styleId="Heading2">
    <w:name w:val="heading 2"/>
    <w:basedOn w:val="Normal"/>
    <w:next w:val="Normal"/>
    <w:pPr>
      <w:keepNext w:val="1"/>
      <w:spacing w:after="60" w:before="240" w:lineRule="auto"/>
    </w:pPr>
    <w:rPr>
      <w:rFonts w:ascii="Arial" w:cs="Arial" w:eastAsia="Arial" w:hAnsi="Arial"/>
      <w:b w:val="1"/>
    </w:rPr>
  </w:style>
  <w:style w:type="paragraph" w:styleId="Heading3">
    <w:name w:val="heading 3"/>
    <w:basedOn w:val="Normal"/>
    <w:next w:val="Normal"/>
    <w:pPr>
      <w:keepNext w:val="1"/>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tabs>
        <w:tab w:val="left" w:pos="432"/>
        <w:tab w:val="left" w:pos="720"/>
        <w:tab w:val="left" w:pos="1440"/>
        <w:tab w:val="left" w:pos="2160"/>
        <w:tab w:val="left" w:pos="2880"/>
        <w:tab w:val="left" w:pos="3600"/>
        <w:tab w:val="left" w:pos="4320"/>
        <w:tab w:val="left" w:pos="5040"/>
        <w:tab w:val="left" w:pos="5760"/>
        <w:tab w:val="left" w:pos="6480"/>
        <w:tab w:val="left" w:pos="7200"/>
      </w:tabs>
      <w:ind w:left="432"/>
      <w:jc w:val="both"/>
    </w:pPr>
    <w:rPr>
      <w:b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32"/>
      <w:szCs w:val="32"/>
    </w:rPr>
  </w:style>
  <w:style w:type="paragraph" w:styleId="Normal" w:default="1">
    <w:name w:val="Normal"/>
    <w:qFormat w:val="1"/>
    <w:rsid w:val="00A83965"/>
    <w:rPr>
      <w:sz w:val="24"/>
      <w:szCs w:val="24"/>
      <w:lang w:eastAsia="es-CL" w:val="es-CL"/>
    </w:rPr>
  </w:style>
  <w:style w:type="paragraph" w:styleId="Ttulo1">
    <w:name w:val="heading 1"/>
    <w:basedOn w:val="Normal"/>
    <w:next w:val="Normal"/>
    <w:qFormat w:val="1"/>
    <w:rsid w:val="00B51313"/>
    <w:pPr>
      <w:keepNext w:val="1"/>
      <w:overflowPunct w:val="0"/>
      <w:autoSpaceDE w:val="0"/>
      <w:autoSpaceDN w:val="0"/>
      <w:adjustRightInd w:val="0"/>
      <w:textAlignment w:val="baseline"/>
      <w:outlineLvl w:val="0"/>
    </w:pPr>
    <w:rPr>
      <w:rFonts w:ascii="Arial" w:hAnsi="Arial"/>
      <w:b w:val="1"/>
      <w:bCs w:val="1"/>
      <w:szCs w:val="20"/>
      <w:lang w:eastAsia="es-ES" w:val="es-ES"/>
    </w:rPr>
  </w:style>
  <w:style w:type="paragraph" w:styleId="Ttulo2">
    <w:name w:val="heading 2"/>
    <w:basedOn w:val="Normal"/>
    <w:next w:val="Normal"/>
    <w:qFormat w:val="1"/>
    <w:rsid w:val="0018362B"/>
    <w:pPr>
      <w:keepNext w:val="1"/>
      <w:spacing w:after="60" w:before="240"/>
      <w:outlineLvl w:val="1"/>
    </w:pPr>
    <w:rPr>
      <w:rFonts w:ascii="Arial" w:cs="Arial" w:hAnsi="Arial"/>
      <w:b w:val="1"/>
      <w:bCs w:val="1"/>
      <w:iCs w:val="1"/>
      <w:szCs w:val="28"/>
    </w:rPr>
  </w:style>
  <w:style w:type="paragraph" w:styleId="Ttulo3">
    <w:name w:val="heading 3"/>
    <w:basedOn w:val="Normal"/>
    <w:next w:val="Normal"/>
    <w:qFormat w:val="1"/>
    <w:rsid w:val="00A83965"/>
    <w:pPr>
      <w:keepNext w:val="1"/>
      <w:overflowPunct w:val="0"/>
      <w:autoSpaceDE w:val="0"/>
      <w:autoSpaceDN w:val="0"/>
      <w:adjustRightInd w:val="0"/>
      <w:textAlignment w:val="baseline"/>
      <w:outlineLvl w:val="2"/>
    </w:pPr>
    <w:rPr>
      <w:b w:val="1"/>
      <w:szCs w:val="20"/>
      <w:lang w:eastAsia="es-ES" w:val="es-ES"/>
    </w:rPr>
  </w:style>
  <w:style w:type="paragraph" w:styleId="Ttulo5">
    <w:name w:val="heading 5"/>
    <w:basedOn w:val="Normal"/>
    <w:next w:val="Normal"/>
    <w:qFormat w:val="1"/>
    <w:rsid w:val="00A83965"/>
    <w:pPr>
      <w:keepNext w:val="1"/>
      <w:tabs>
        <w:tab w:val="left" w:pos="432"/>
        <w:tab w:val="left" w:pos="720"/>
        <w:tab w:val="left" w:pos="1440"/>
        <w:tab w:val="left" w:pos="2160"/>
        <w:tab w:val="left" w:pos="2880"/>
        <w:tab w:val="left" w:pos="3600"/>
        <w:tab w:val="left" w:pos="4320"/>
        <w:tab w:val="left" w:pos="5040"/>
        <w:tab w:val="left" w:pos="5760"/>
        <w:tab w:val="left" w:pos="6480"/>
        <w:tab w:val="left" w:pos="7200"/>
      </w:tabs>
      <w:overflowPunct w:val="0"/>
      <w:autoSpaceDE w:val="0"/>
      <w:autoSpaceDN w:val="0"/>
      <w:adjustRightInd w:val="0"/>
      <w:ind w:left="432"/>
      <w:jc w:val="both"/>
      <w:textAlignment w:val="baseline"/>
      <w:outlineLvl w:val="4"/>
    </w:pPr>
    <w:rPr>
      <w:b w:val="1"/>
      <w:bCs w:val="1"/>
      <w:sz w:val="26"/>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rsid w:val="00A83965"/>
    <w:pPr>
      <w:spacing w:after="100" w:afterAutospacing="1" w:before="100" w:beforeAutospacing="1"/>
    </w:pPr>
  </w:style>
  <w:style w:type="paragraph" w:styleId="Sangradetextonormal">
    <w:name w:val="Body Text Indent"/>
    <w:basedOn w:val="Normal"/>
    <w:rsid w:val="00A83965"/>
    <w:pPr>
      <w:tabs>
        <w:tab w:val="left" w:pos="851"/>
        <w:tab w:val="left" w:pos="1584"/>
      </w:tabs>
      <w:overflowPunct w:val="0"/>
      <w:autoSpaceDE w:val="0"/>
      <w:autoSpaceDN w:val="0"/>
      <w:adjustRightInd w:val="0"/>
      <w:ind w:left="284" w:hanging="284"/>
      <w:jc w:val="both"/>
      <w:textAlignment w:val="baseline"/>
    </w:pPr>
    <w:rPr>
      <w:szCs w:val="20"/>
      <w:lang w:eastAsia="es-ES" w:val="es-ES"/>
    </w:rPr>
  </w:style>
  <w:style w:type="paragraph" w:styleId="Textoindependiente2">
    <w:name w:val="Body Text 2"/>
    <w:basedOn w:val="Normal"/>
    <w:rsid w:val="00A83965"/>
    <w:pPr>
      <w:overflowPunct w:val="0"/>
      <w:autoSpaceDE w:val="0"/>
      <w:autoSpaceDN w:val="0"/>
      <w:adjustRightInd w:val="0"/>
      <w:textAlignment w:val="baseline"/>
    </w:pPr>
    <w:rPr>
      <w:b w:val="1"/>
      <w:sz w:val="28"/>
      <w:szCs w:val="20"/>
      <w:u w:val="single"/>
      <w:lang w:eastAsia="es-ES" w:val="es-ES"/>
    </w:rPr>
  </w:style>
  <w:style w:type="paragraph" w:styleId="Encabezado">
    <w:name w:val="header"/>
    <w:basedOn w:val="Normal"/>
    <w:link w:val="EncabezadoCar"/>
    <w:uiPriority w:val="99"/>
    <w:rsid w:val="00A83965"/>
    <w:pPr>
      <w:tabs>
        <w:tab w:val="center" w:pos="4419"/>
        <w:tab w:val="right" w:pos="8838"/>
      </w:tabs>
    </w:pPr>
  </w:style>
  <w:style w:type="paragraph" w:styleId="Piedepgina">
    <w:name w:val="footer"/>
    <w:basedOn w:val="Normal"/>
    <w:rsid w:val="00A83965"/>
    <w:pPr>
      <w:tabs>
        <w:tab w:val="center" w:pos="4419"/>
        <w:tab w:val="right" w:pos="8838"/>
      </w:tabs>
    </w:pPr>
  </w:style>
  <w:style w:type="paragraph" w:styleId="Ttulo">
    <w:name w:val="Title"/>
    <w:basedOn w:val="Normal"/>
    <w:qFormat w:val="1"/>
    <w:rsid w:val="00A83965"/>
    <w:pPr>
      <w:jc w:val="center"/>
    </w:pPr>
    <w:rPr>
      <w:b w:val="1"/>
      <w:bCs w:val="1"/>
      <w:sz w:val="32"/>
      <w:lang w:eastAsia="es-ES" w:val="es-ES"/>
    </w:rPr>
  </w:style>
  <w:style w:type="character" w:styleId="Nmerodepgina">
    <w:name w:val="page number"/>
    <w:basedOn w:val="Fuentedeprrafopredeter"/>
    <w:rsid w:val="00A83965"/>
  </w:style>
  <w:style w:type="character" w:styleId="EncabezadoCar" w:customStyle="1">
    <w:name w:val="Encabezado Car"/>
    <w:link w:val="Encabezado"/>
    <w:uiPriority w:val="99"/>
    <w:rsid w:val="003012B7"/>
    <w:rPr>
      <w:sz w:val="24"/>
      <w:szCs w:val="24"/>
      <w:lang w:eastAsia="es-CL" w:val="es-CL"/>
    </w:rPr>
  </w:style>
  <w:style w:type="paragraph" w:styleId="Textodeglobo">
    <w:name w:val="Balloon Text"/>
    <w:basedOn w:val="Normal"/>
    <w:link w:val="TextodegloboCar"/>
    <w:uiPriority w:val="99"/>
    <w:semiHidden w:val="1"/>
    <w:unhideWhenUsed w:val="1"/>
    <w:rsid w:val="00683FEF"/>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83FEF"/>
    <w:rPr>
      <w:rFonts w:ascii="Segoe UI" w:cs="Segoe UI" w:hAnsi="Segoe UI"/>
      <w:sz w:val="18"/>
      <w:szCs w:val="18"/>
      <w:lang w:eastAsia="es-CL" w:val="es-CL"/>
    </w:rPr>
  </w:style>
  <w:style w:type="table" w:styleId="Tablaconcuadrcula">
    <w:name w:val="Table Grid"/>
    <w:basedOn w:val="Tablanormal"/>
    <w:uiPriority w:val="39"/>
    <w:rsid w:val="00BC39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FF7004"/>
    <w:pPr>
      <w:ind w:left="720"/>
      <w:contextualSpacing w:val="1"/>
    </w:pPr>
  </w:style>
  <w:style w:type="table" w:styleId="Tablaconcuadrcula4-nfasis5">
    <w:name w:val="Grid Table 4 Accent 5"/>
    <w:basedOn w:val="Tablanormal"/>
    <w:uiPriority w:val="49"/>
    <w:rsid w:val="004B781D"/>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Default" w:customStyle="1">
    <w:name w:val="Default"/>
    <w:rsid w:val="00A668A3"/>
    <w:pPr>
      <w:autoSpaceDE w:val="0"/>
      <w:autoSpaceDN w:val="0"/>
      <w:adjustRightInd w:val="0"/>
    </w:pPr>
    <w:rPr>
      <w:rFonts w:ascii="Arial" w:cs="Arial" w:hAnsi="Arial" w:eastAsiaTheme="minorHAnsi"/>
      <w:color w:val="000000"/>
      <w:sz w:val="24"/>
      <w:szCs w:val="24"/>
      <w:lang w:eastAsia="en-US" w:val="es-CO"/>
    </w:rPr>
  </w:style>
  <w:style w:type="paragraph" w:styleId="TtuloTDC">
    <w:name w:val="TOC Heading"/>
    <w:basedOn w:val="Ttulo1"/>
    <w:next w:val="Normal"/>
    <w:uiPriority w:val="39"/>
    <w:unhideWhenUsed w:val="1"/>
    <w:qFormat w:val="1"/>
    <w:rsid w:val="004E7E30"/>
    <w:pPr>
      <w:keepLines w:val="1"/>
      <w:overflowPunct w:val="1"/>
      <w:autoSpaceDE w:val="1"/>
      <w:autoSpaceDN w:val="1"/>
      <w:adjustRightInd w:val="1"/>
      <w:spacing w:before="240" w:line="259" w:lineRule="auto"/>
      <w:textAlignment w:val="auto"/>
      <w:outlineLvl w:val="9"/>
    </w:pPr>
    <w:rPr>
      <w:rFonts w:asciiTheme="majorHAnsi" w:cstheme="majorBidi" w:eastAsiaTheme="majorEastAsia" w:hAnsiTheme="majorHAnsi"/>
      <w:b w:val="0"/>
      <w:bCs w:val="0"/>
      <w:color w:val="2e74b5" w:themeColor="accent1" w:themeShade="0000BF"/>
      <w:sz w:val="32"/>
      <w:szCs w:val="32"/>
      <w:lang w:eastAsia="es-CO" w:val="es-CO"/>
    </w:rPr>
  </w:style>
  <w:style w:type="paragraph" w:styleId="TDC1">
    <w:name w:val="toc 1"/>
    <w:basedOn w:val="Normal"/>
    <w:next w:val="Normal"/>
    <w:autoRedefine w:val="1"/>
    <w:uiPriority w:val="39"/>
    <w:unhideWhenUsed w:val="1"/>
    <w:rsid w:val="004E7E30"/>
    <w:pPr>
      <w:spacing w:after="100"/>
    </w:pPr>
  </w:style>
  <w:style w:type="paragraph" w:styleId="TDC2">
    <w:name w:val="toc 2"/>
    <w:basedOn w:val="Normal"/>
    <w:next w:val="Normal"/>
    <w:autoRedefine w:val="1"/>
    <w:uiPriority w:val="39"/>
    <w:unhideWhenUsed w:val="1"/>
    <w:rsid w:val="004E7E30"/>
    <w:pPr>
      <w:spacing w:after="100"/>
      <w:ind w:left="240"/>
    </w:pPr>
  </w:style>
  <w:style w:type="character" w:styleId="Hipervnculo">
    <w:name w:val="Hyperlink"/>
    <w:basedOn w:val="Fuentedeprrafopredeter"/>
    <w:uiPriority w:val="99"/>
    <w:unhideWhenUsed w:val="1"/>
    <w:rsid w:val="004E7E3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78P9obLxQjVIPA1JQj2CUlZ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sWXhUSlIweWFKTzZwZ0c4bDJKU2dkc08xNGZUUTd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2018-10-07T20:32:00Z</dcterms:created>
  <dc:creator>LAvila1</dc:creator>
</cp:coreProperties>
</file>