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887A4" w14:textId="77777777" w:rsidR="007A4102" w:rsidRDefault="007A4102" w:rsidP="007A4102">
      <w:pPr>
        <w:spacing w:before="100" w:beforeAutospacing="1" w:after="100" w:afterAutospacing="1" w:line="240" w:lineRule="auto"/>
        <w:outlineLvl w:val="0"/>
        <w:rPr>
          <w:rFonts w:asciiTheme="majorHAnsi" w:eastAsia="Times New Roman" w:hAnsiTheme="majorHAnsi" w:cs="Times New Roman"/>
          <w:b/>
          <w:bCs/>
          <w:kern w:val="36"/>
          <w:sz w:val="24"/>
          <w:szCs w:val="24"/>
          <w:lang w:eastAsia="es-CO"/>
          <w14:ligatures w14:val="none"/>
        </w:rPr>
      </w:pPr>
    </w:p>
    <w:p w14:paraId="10708B83" w14:textId="77777777" w:rsidR="00843C46" w:rsidRDefault="00843C46" w:rsidP="00843C46">
      <w:pPr>
        <w:jc w:val="center"/>
        <w:rPr>
          <w:b/>
          <w:sz w:val="36"/>
        </w:rPr>
      </w:pPr>
    </w:p>
    <w:p w14:paraId="7DEF4593" w14:textId="4C270827" w:rsidR="00843C46" w:rsidRPr="008F20C0" w:rsidRDefault="00843C46" w:rsidP="00843C46">
      <w:pPr>
        <w:jc w:val="center"/>
      </w:pPr>
      <w:r w:rsidRPr="008F20C0">
        <w:rPr>
          <w:b/>
          <w:sz w:val="36"/>
        </w:rPr>
        <w:t>POLÍTICAS DE COMISIONES – MIA PASS</w:t>
      </w:r>
    </w:p>
    <w:p w14:paraId="2C25DF17" w14:textId="77777777" w:rsidR="00843C46" w:rsidRDefault="00843C46" w:rsidP="00843C46">
      <w:pPr>
        <w:jc w:val="center"/>
      </w:pPr>
      <w:r w:rsidRPr="008F20C0">
        <w:t>Vigencia: 2026 | Versión: 1.0</w:t>
      </w:r>
    </w:p>
    <w:p w14:paraId="073FE655" w14:textId="77777777" w:rsidR="00843C46" w:rsidRPr="00A21D7A" w:rsidRDefault="00843C46" w:rsidP="00843C46">
      <w:pPr>
        <w:pStyle w:val="Ttulo2"/>
        <w:spacing w:after="0" w:line="240" w:lineRule="auto"/>
        <w:jc w:val="center"/>
        <w:rPr>
          <w:color w:val="auto"/>
        </w:rPr>
      </w:pPr>
      <w:r w:rsidRPr="00A21D7A">
        <w:rPr>
          <w:color w:val="auto"/>
        </w:rPr>
        <w:t>“</w:t>
      </w:r>
      <w:r w:rsidRPr="00DF7EE8">
        <w:rPr>
          <w:color w:val="auto"/>
        </w:rPr>
        <w:t>Tu llave inteligente al bienestar</w:t>
      </w:r>
      <w:r w:rsidRPr="00A21D7A">
        <w:rPr>
          <w:color w:val="auto"/>
        </w:rPr>
        <w:t>”</w:t>
      </w:r>
    </w:p>
    <w:p w14:paraId="3305F976" w14:textId="77777777" w:rsidR="00843C46" w:rsidRPr="008F20C0" w:rsidRDefault="00843C46" w:rsidP="00843C46">
      <w:pPr>
        <w:jc w:val="center"/>
      </w:pPr>
    </w:p>
    <w:p w14:paraId="43EC2F0D" w14:textId="77777777" w:rsidR="00843C46" w:rsidRPr="008F20C0" w:rsidRDefault="00843C46" w:rsidP="00843C46"/>
    <w:p w14:paraId="56D5DA51" w14:textId="77777777" w:rsidR="00843C46" w:rsidRPr="00843C46" w:rsidRDefault="00843C46" w:rsidP="00843C46">
      <w:pPr>
        <w:jc w:val="center"/>
        <w:rPr>
          <w:sz w:val="24"/>
          <w:szCs w:val="24"/>
        </w:rPr>
      </w:pPr>
      <w:r w:rsidRPr="00843C46">
        <w:rPr>
          <w:sz w:val="24"/>
          <w:szCs w:val="24"/>
        </w:rPr>
        <w:t>Documento interno para uso de Dirección Comercial, Dirección Financiera, Dirección de Mercadeo, Gestión Humana y responsables de parametrización en CRM.</w:t>
      </w:r>
    </w:p>
    <w:p w14:paraId="1C9F9C29" w14:textId="77777777" w:rsidR="00843C46" w:rsidRDefault="00843C46" w:rsidP="00843C46">
      <w:pPr>
        <w:jc w:val="center"/>
      </w:pPr>
    </w:p>
    <w:p w14:paraId="71A634FD" w14:textId="77777777" w:rsidR="00843C46" w:rsidRDefault="00843C46" w:rsidP="00843C46">
      <w:pPr>
        <w:jc w:val="center"/>
      </w:pPr>
    </w:p>
    <w:p w14:paraId="104BCF51" w14:textId="77777777" w:rsidR="00843C46" w:rsidRPr="00A21D7A" w:rsidRDefault="00843C46" w:rsidP="00843C46">
      <w:pPr>
        <w:pStyle w:val="Ttulo2"/>
        <w:jc w:val="center"/>
        <w:rPr>
          <w:color w:val="auto"/>
        </w:rPr>
      </w:pPr>
      <w:r w:rsidRPr="00A21D7A">
        <w:rPr>
          <w:color w:val="auto"/>
        </w:rPr>
        <w:t>DIRECCIÓN DE MERCADEO</w:t>
      </w:r>
    </w:p>
    <w:p w14:paraId="65253209" w14:textId="39AE0EE2" w:rsidR="00843C46" w:rsidRPr="00843C46" w:rsidRDefault="00843C46" w:rsidP="00843C46">
      <w:pPr>
        <w:pStyle w:val="Ttulo2"/>
        <w:jc w:val="center"/>
        <w:rPr>
          <w:color w:val="auto"/>
        </w:rPr>
      </w:pPr>
      <w:r w:rsidRPr="00A21D7A">
        <w:rPr>
          <w:noProof/>
          <w:u w:val="single"/>
        </w:rPr>
        <w:drawing>
          <wp:anchor distT="0" distB="0" distL="114300" distR="114300" simplePos="0" relativeHeight="251659264" behindDoc="1" locked="0" layoutInCell="1" allowOverlap="1" wp14:anchorId="6A4B2854" wp14:editId="277EB90A">
            <wp:simplePos x="0" y="0"/>
            <wp:positionH relativeFrom="column">
              <wp:posOffset>1638396</wp:posOffset>
            </wp:positionH>
            <wp:positionV relativeFrom="paragraph">
              <wp:posOffset>1983908</wp:posOffset>
            </wp:positionV>
            <wp:extent cx="2066925" cy="2066925"/>
            <wp:effectExtent l="0" t="0" r="9525" b="9525"/>
            <wp:wrapNone/>
            <wp:docPr id="1520881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pic:spPr>
                </pic:pic>
              </a:graphicData>
            </a:graphic>
            <wp14:sizeRelH relativeFrom="page">
              <wp14:pctWidth>0</wp14:pctWidth>
            </wp14:sizeRelH>
            <wp14:sizeRelV relativeFrom="page">
              <wp14:pctHeight>0</wp14:pctHeight>
            </wp14:sizeRelV>
          </wp:anchor>
        </w:drawing>
      </w:r>
      <w:r>
        <w:rPr>
          <w:color w:val="auto"/>
        </w:rPr>
        <w:t>Diciembre</w:t>
      </w:r>
      <w:r w:rsidRPr="00A21D7A">
        <w:rPr>
          <w:color w:val="auto"/>
        </w:rPr>
        <w:t xml:space="preserve"> 2025</w:t>
      </w:r>
      <w:r w:rsidRPr="008F20C0">
        <w:br w:type="page"/>
      </w:r>
    </w:p>
    <w:p w14:paraId="49DCA404" w14:textId="77777777" w:rsidR="00843C46" w:rsidRDefault="00843C46" w:rsidP="00843C46">
      <w:pPr>
        <w:pStyle w:val="Ttulo1"/>
      </w:pPr>
    </w:p>
    <w:p w14:paraId="5EFD7097" w14:textId="0793BD95" w:rsidR="00843C46" w:rsidRPr="0054302B" w:rsidRDefault="00843C46" w:rsidP="00843C46">
      <w:pPr>
        <w:pStyle w:val="Ttulo1"/>
        <w:rPr>
          <w:b/>
          <w:bCs/>
          <w:color w:val="000000" w:themeColor="text1"/>
        </w:rPr>
      </w:pPr>
      <w:r w:rsidRPr="0054302B">
        <w:rPr>
          <w:b/>
          <w:bCs/>
          <w:color w:val="000000" w:themeColor="text1"/>
        </w:rPr>
        <w:t>Índice</w:t>
      </w:r>
    </w:p>
    <w:p w14:paraId="3BD52B38"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 Introducción</w:t>
      </w:r>
    </w:p>
    <w:p w14:paraId="7BE7DF6D"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2. Objeto del documento</w:t>
      </w:r>
    </w:p>
    <w:p w14:paraId="097361DF"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3. Alcance y aplicación</w:t>
      </w:r>
    </w:p>
    <w:p w14:paraId="2A7E527F"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4. Definiciones</w:t>
      </w:r>
    </w:p>
    <w:p w14:paraId="4B2FAB9A"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5. Política interna de comisiones</w:t>
      </w:r>
    </w:p>
    <w:p w14:paraId="7ED70823"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6. Valores oficiales MIA PASS y base comisional</w:t>
      </w:r>
    </w:p>
    <w:p w14:paraId="1A6014B6"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7. Esquema de pagos: porcentajes y valores</w:t>
      </w:r>
    </w:p>
    <w:p w14:paraId="73075677"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8. Incentivo movilizador por sobrecumplimiento</w:t>
      </w:r>
    </w:p>
    <w:p w14:paraId="7B8D16F3"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9. Modelo para personal interno y externos</w:t>
      </w:r>
    </w:p>
    <w:p w14:paraId="6EB67511"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10. Modelo sin contrato: reconocimiento por gestión de servicio</w:t>
      </w:r>
    </w:p>
    <w:p w14:paraId="68B5F2B4"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11. Código de venta y pago por cédula</w:t>
      </w:r>
    </w:p>
    <w:p w14:paraId="272CC207"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12. Condiciones para el reconocimiento de comisiones</w:t>
      </w:r>
    </w:p>
    <w:p w14:paraId="7B1C49D3"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13. Exclusiones, devoluciones y novedades</w:t>
      </w:r>
    </w:p>
    <w:p w14:paraId="07492834"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14. Parametrización en CRM (campos mínimos y estados)</w:t>
      </w:r>
    </w:p>
    <w:p w14:paraId="1C9812CF"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15. Control, auditoría y gobierno de datos</w:t>
      </w:r>
    </w:p>
    <w:p w14:paraId="1116405B"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16. Periodicidad de corte, liquidación y pago</w:t>
      </w:r>
    </w:p>
    <w:p w14:paraId="1DAF9C88"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17. Tratamiento de inconsistencias y ajustes</w:t>
      </w:r>
    </w:p>
    <w:p w14:paraId="1391CE8B" w14:textId="77777777" w:rsidR="00FE501D" w:rsidRPr="0054302B" w:rsidRDefault="00843C46" w:rsidP="0054302B">
      <w:pPr>
        <w:pStyle w:val="Listaconnmeros"/>
        <w:numPr>
          <w:ilvl w:val="0"/>
          <w:numId w:val="0"/>
        </w:numPr>
        <w:spacing w:after="0" w:line="360" w:lineRule="auto"/>
        <w:ind w:left="360"/>
        <w:jc w:val="both"/>
        <w:rPr>
          <w:rFonts w:ascii="Arial" w:hAnsi="Arial" w:cs="Arial"/>
          <w:sz w:val="24"/>
          <w:szCs w:val="24"/>
          <w:lang w:val="es-CO"/>
        </w:rPr>
      </w:pPr>
      <w:r w:rsidRPr="0054302B">
        <w:rPr>
          <w:rFonts w:ascii="Arial" w:hAnsi="Arial" w:cs="Arial"/>
          <w:sz w:val="24"/>
          <w:szCs w:val="24"/>
          <w:lang w:val="es-CO"/>
        </w:rPr>
        <w:t>18. Disposiciones finales</w:t>
      </w:r>
    </w:p>
    <w:p w14:paraId="3870759A" w14:textId="21F01CE9" w:rsidR="00FE501D" w:rsidRPr="0054302B" w:rsidRDefault="00FE501D" w:rsidP="0054302B">
      <w:pPr>
        <w:pStyle w:val="Listaconnmeros"/>
        <w:numPr>
          <w:ilvl w:val="0"/>
          <w:numId w:val="0"/>
        </w:numPr>
        <w:spacing w:after="0" w:line="360" w:lineRule="auto"/>
        <w:ind w:left="360"/>
        <w:jc w:val="both"/>
        <w:rPr>
          <w:rFonts w:ascii="Arial" w:hAnsi="Arial" w:cs="Arial"/>
          <w:sz w:val="24"/>
          <w:szCs w:val="24"/>
          <w:lang w:val="es-CO"/>
        </w:rPr>
      </w:pPr>
      <w:r w:rsidRPr="0054302B">
        <w:rPr>
          <w:rFonts w:ascii="Arial" w:hAnsi="Arial" w:cs="Arial"/>
          <w:sz w:val="24"/>
          <w:szCs w:val="24"/>
          <w:lang w:val="es-CO"/>
        </w:rPr>
        <w:t>19. CAPÍTULO XIX. AMPLIACIÓN DEL ESQUEMA DE COMISIONES Y REDES (VERSIÓN 1.1)</w:t>
      </w:r>
    </w:p>
    <w:p w14:paraId="4CD23CB9" w14:textId="77777777" w:rsidR="00FE501D" w:rsidRPr="0054302B" w:rsidRDefault="00FE501D" w:rsidP="0054302B">
      <w:pPr>
        <w:pStyle w:val="Listaconnmeros"/>
        <w:numPr>
          <w:ilvl w:val="0"/>
          <w:numId w:val="0"/>
        </w:numPr>
        <w:spacing w:line="360" w:lineRule="auto"/>
        <w:ind w:left="360"/>
        <w:jc w:val="both"/>
        <w:rPr>
          <w:rFonts w:ascii="Arial" w:hAnsi="Arial" w:cs="Arial"/>
          <w:sz w:val="24"/>
          <w:szCs w:val="24"/>
          <w:lang w:val="es-CO"/>
        </w:rPr>
      </w:pPr>
    </w:p>
    <w:p w14:paraId="3A0CFAB2"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Anexo A. Aceptación de políticas de comisiones (formato de firma)</w:t>
      </w:r>
    </w:p>
    <w:p w14:paraId="1EFA4493"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Anexo B. Diccionario de datos CRM para comisiones (mínimo viable)</w:t>
      </w:r>
    </w:p>
    <w:p w14:paraId="022580F1" w14:textId="77777777" w:rsidR="00843C46" w:rsidRPr="0054302B" w:rsidRDefault="00843C46" w:rsidP="0054302B">
      <w:pPr>
        <w:pStyle w:val="Listaconnmeros"/>
        <w:numPr>
          <w:ilvl w:val="0"/>
          <w:numId w:val="0"/>
        </w:numPr>
        <w:spacing w:line="360" w:lineRule="auto"/>
        <w:ind w:left="360"/>
        <w:jc w:val="both"/>
        <w:rPr>
          <w:rFonts w:ascii="Arial" w:hAnsi="Arial" w:cs="Arial"/>
          <w:sz w:val="24"/>
          <w:szCs w:val="24"/>
          <w:lang w:val="es-CO"/>
        </w:rPr>
      </w:pPr>
      <w:r w:rsidRPr="0054302B">
        <w:rPr>
          <w:rFonts w:ascii="Arial" w:hAnsi="Arial" w:cs="Arial"/>
          <w:sz w:val="24"/>
          <w:szCs w:val="24"/>
          <w:lang w:val="es-CO"/>
        </w:rPr>
        <w:t>Anexo C. Ejemplos de liquidación (escenarios)</w:t>
      </w:r>
    </w:p>
    <w:p w14:paraId="73D0403D" w14:textId="77777777" w:rsidR="00843C46" w:rsidRPr="008F20C0" w:rsidRDefault="00843C46" w:rsidP="00843C46">
      <w:r w:rsidRPr="008F20C0">
        <w:br w:type="page"/>
      </w:r>
    </w:p>
    <w:p w14:paraId="254719F3" w14:textId="77777777" w:rsidR="0054302B" w:rsidRDefault="0054302B" w:rsidP="0054302B">
      <w:pPr>
        <w:pStyle w:val="Ttulo1"/>
        <w:spacing w:line="360" w:lineRule="auto"/>
        <w:jc w:val="both"/>
        <w:rPr>
          <w:rFonts w:ascii="Arial" w:hAnsi="Arial" w:cs="Arial"/>
          <w:color w:val="000000" w:themeColor="text1"/>
        </w:rPr>
      </w:pPr>
    </w:p>
    <w:p w14:paraId="173D6830" w14:textId="5C723AD0"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 Introducción</w:t>
      </w:r>
    </w:p>
    <w:p w14:paraId="29D2C5F1"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MIA PASS es una membresía anual orientada a familias, cuyo objetivo es facilitar el acceso a beneficios en salud y bienestar mediante descuentos y condiciones preferenciales en la CLÍNICA MIA S.A.S y su red de aliados. El presente documento define las políticas de comisiones aplicables a la gestión comercial de la membresía, garantizando reglas claras, uniformes, auditables y compatibles con la operación en CRM y tableros gerenciales.</w:t>
      </w:r>
    </w:p>
    <w:p w14:paraId="1600737D"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2. Objeto del documento</w:t>
      </w:r>
    </w:p>
    <w:p w14:paraId="2A5B3A15"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Establecer el marco oficial para: (i) reconocer y liquidar comisiones e incentivos; (ii) definir condiciones de validez de una venta; (</w:t>
      </w:r>
      <w:proofErr w:type="spellStart"/>
      <w:r w:rsidRPr="0054302B">
        <w:rPr>
          <w:rFonts w:ascii="Arial" w:hAnsi="Arial" w:cs="Arial"/>
          <w:color w:val="000000" w:themeColor="text1"/>
        </w:rPr>
        <w:t>iii</w:t>
      </w:r>
      <w:proofErr w:type="spellEnd"/>
      <w:r w:rsidRPr="0054302B">
        <w:rPr>
          <w:rFonts w:ascii="Arial" w:hAnsi="Arial" w:cs="Arial"/>
          <w:color w:val="000000" w:themeColor="text1"/>
        </w:rPr>
        <w:t>) estandarizar el modelo para personal interno y externos; (</w:t>
      </w:r>
      <w:proofErr w:type="spellStart"/>
      <w:r w:rsidRPr="0054302B">
        <w:rPr>
          <w:rFonts w:ascii="Arial" w:hAnsi="Arial" w:cs="Arial"/>
          <w:color w:val="000000" w:themeColor="text1"/>
        </w:rPr>
        <w:t>iv</w:t>
      </w:r>
      <w:proofErr w:type="spellEnd"/>
      <w:r w:rsidRPr="0054302B">
        <w:rPr>
          <w:rFonts w:ascii="Arial" w:hAnsi="Arial" w:cs="Arial"/>
          <w:color w:val="000000" w:themeColor="text1"/>
        </w:rPr>
        <w:t>) soportar la toma de decisiones gerenciales; y (v) parametrizar el CRM como única fuente de verdad para liquidación y auditoría.</w:t>
      </w:r>
    </w:p>
    <w:p w14:paraId="08D00FE6"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3. Alcance y aplicación</w:t>
      </w:r>
    </w:p>
    <w:p w14:paraId="30FE9CF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Estas políticas aplican para:</w:t>
      </w:r>
    </w:p>
    <w:p w14:paraId="32D92C64"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Asesores comerciales internos (planta o contratistas).</w:t>
      </w:r>
    </w:p>
    <w:p w14:paraId="5088BEAF" w14:textId="58726E01"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Personal interno autorizado (administrativo, servicio al cliente, líderes).</w:t>
      </w:r>
    </w:p>
    <w:p w14:paraId="29082EEB"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Vendedores externos (freelance, referidores, promotores).</w:t>
      </w:r>
    </w:p>
    <w:p w14:paraId="39FCC410"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Aliados estratégicos autorizados (puntos aliados que gestionen afiliaciones).</w:t>
      </w:r>
    </w:p>
    <w:p w14:paraId="30FA79B9"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Cualquier persona que registre ventas bajo un código de vendedor válido (cédula).</w:t>
      </w:r>
    </w:p>
    <w:p w14:paraId="141C74DE"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La aceptación y aplicación de estas políticas es obligatoria para cualquier participante del esquema. La Dirección Comercial podrá suspender códigos o reconocer/ajustar pagos cuando se identifiquen incumplimientos.</w:t>
      </w:r>
    </w:p>
    <w:p w14:paraId="22BC2724"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lastRenderedPageBreak/>
        <w:t>4. Definiciones</w:t>
      </w: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9"/>
        <w:gridCol w:w="4939"/>
      </w:tblGrid>
      <w:tr w:rsidR="0054302B" w:rsidRPr="0054302B" w14:paraId="0D04D609" w14:textId="77777777" w:rsidTr="0054302B">
        <w:trPr>
          <w:trHeight w:val="536"/>
        </w:trPr>
        <w:tc>
          <w:tcPr>
            <w:tcW w:w="4939" w:type="dxa"/>
          </w:tcPr>
          <w:p w14:paraId="2736564A"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Término</w:t>
            </w:r>
          </w:p>
        </w:tc>
        <w:tc>
          <w:tcPr>
            <w:tcW w:w="4939" w:type="dxa"/>
          </w:tcPr>
          <w:p w14:paraId="6A990FED"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Definición</w:t>
            </w:r>
          </w:p>
        </w:tc>
      </w:tr>
      <w:tr w:rsidR="0054302B" w:rsidRPr="0054302B" w14:paraId="30961E14" w14:textId="77777777" w:rsidTr="0054302B">
        <w:trPr>
          <w:trHeight w:val="1287"/>
        </w:trPr>
        <w:tc>
          <w:tcPr>
            <w:tcW w:w="4939" w:type="dxa"/>
          </w:tcPr>
          <w:p w14:paraId="0D93D012"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Membresía activa</w:t>
            </w:r>
          </w:p>
        </w:tc>
        <w:tc>
          <w:tcPr>
            <w:tcW w:w="4939" w:type="dxa"/>
          </w:tcPr>
          <w:p w14:paraId="7AA1E9E0"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Membresía con pago confirmado, registro completo en CRM y estado ACTIVA, habilitada para uso.</w:t>
            </w:r>
          </w:p>
        </w:tc>
      </w:tr>
      <w:tr w:rsidR="0054302B" w:rsidRPr="0054302B" w14:paraId="59417A2F" w14:textId="77777777" w:rsidTr="0054302B">
        <w:trPr>
          <w:trHeight w:val="925"/>
        </w:trPr>
        <w:tc>
          <w:tcPr>
            <w:tcW w:w="4939" w:type="dxa"/>
          </w:tcPr>
          <w:p w14:paraId="0A0CA7BB"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Base comisional</w:t>
            </w:r>
          </w:p>
        </w:tc>
        <w:tc>
          <w:tcPr>
            <w:tcW w:w="4939" w:type="dxa"/>
          </w:tcPr>
          <w:p w14:paraId="228B68D5"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Valor sin IVA sobre el cual se calcula la comisión: $199.900 COP.</w:t>
            </w:r>
          </w:p>
        </w:tc>
      </w:tr>
      <w:tr w:rsidR="0054302B" w:rsidRPr="0054302B" w14:paraId="0A392A32" w14:textId="77777777" w:rsidTr="0054302B">
        <w:trPr>
          <w:trHeight w:val="1287"/>
        </w:trPr>
        <w:tc>
          <w:tcPr>
            <w:tcW w:w="4939" w:type="dxa"/>
          </w:tcPr>
          <w:p w14:paraId="3FF94FDD"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Comisión estándar</w:t>
            </w:r>
          </w:p>
        </w:tc>
        <w:tc>
          <w:tcPr>
            <w:tcW w:w="4939" w:type="dxa"/>
          </w:tcPr>
          <w:p w14:paraId="5A79B59D" w14:textId="27E522F4"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Reconocimiento por venta válida hasta la membresía #30 del periodo: 25% de la base.</w:t>
            </w:r>
          </w:p>
        </w:tc>
      </w:tr>
      <w:tr w:rsidR="0054302B" w:rsidRPr="0054302B" w14:paraId="0578AB7C" w14:textId="77777777" w:rsidTr="0054302B">
        <w:trPr>
          <w:trHeight w:val="1299"/>
        </w:trPr>
        <w:tc>
          <w:tcPr>
            <w:tcW w:w="4939" w:type="dxa"/>
          </w:tcPr>
          <w:p w14:paraId="4E1471B1"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Incentivo movilizador</w:t>
            </w:r>
          </w:p>
        </w:tc>
        <w:tc>
          <w:tcPr>
            <w:tcW w:w="4939" w:type="dxa"/>
          </w:tcPr>
          <w:p w14:paraId="015A6F9E" w14:textId="1628D412"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Reconocimiento por sobrecumplimiento desde la membresía #31 del periodo: 30% de la base.</w:t>
            </w:r>
          </w:p>
        </w:tc>
      </w:tr>
      <w:tr w:rsidR="0054302B" w:rsidRPr="0054302B" w14:paraId="1005B66D" w14:textId="77777777" w:rsidTr="0054302B">
        <w:trPr>
          <w:trHeight w:val="1287"/>
        </w:trPr>
        <w:tc>
          <w:tcPr>
            <w:tcW w:w="4939" w:type="dxa"/>
          </w:tcPr>
          <w:p w14:paraId="01577889"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Código de vendedor</w:t>
            </w:r>
          </w:p>
        </w:tc>
        <w:tc>
          <w:tcPr>
            <w:tcW w:w="4939" w:type="dxa"/>
          </w:tcPr>
          <w:p w14:paraId="13B7DF7F"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Identificador único para atribución de ventas y pagos: número de cédula del titular.</w:t>
            </w:r>
          </w:p>
        </w:tc>
      </w:tr>
      <w:tr w:rsidR="0054302B" w:rsidRPr="0054302B" w14:paraId="50328260" w14:textId="77777777" w:rsidTr="0054302B">
        <w:trPr>
          <w:trHeight w:val="1299"/>
        </w:trPr>
        <w:tc>
          <w:tcPr>
            <w:tcW w:w="4939" w:type="dxa"/>
          </w:tcPr>
          <w:p w14:paraId="4634325A"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Trazabilidad CRM</w:t>
            </w:r>
          </w:p>
        </w:tc>
        <w:tc>
          <w:tcPr>
            <w:tcW w:w="4939" w:type="dxa"/>
          </w:tcPr>
          <w:p w14:paraId="5B7C721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Conjunto de campos obligatorios que permiten auditar la venta: fecha, código, canal, estado, pago, etc.</w:t>
            </w:r>
          </w:p>
        </w:tc>
      </w:tr>
      <w:tr w:rsidR="0054302B" w:rsidRPr="0054302B" w14:paraId="5C04931D" w14:textId="77777777" w:rsidTr="0054302B">
        <w:trPr>
          <w:trHeight w:val="1287"/>
        </w:trPr>
        <w:tc>
          <w:tcPr>
            <w:tcW w:w="4939" w:type="dxa"/>
          </w:tcPr>
          <w:p w14:paraId="3CC06D6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Novedad</w:t>
            </w:r>
          </w:p>
        </w:tc>
        <w:tc>
          <w:tcPr>
            <w:tcW w:w="4939" w:type="dxa"/>
          </w:tcPr>
          <w:p w14:paraId="3D32AC30"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Cambio posterior en la venta: cancelación, devolución, ajuste, cambio de titularidad u otras modificaciones.</w:t>
            </w:r>
          </w:p>
        </w:tc>
      </w:tr>
    </w:tbl>
    <w:p w14:paraId="53857555" w14:textId="77777777" w:rsidR="0054302B" w:rsidRDefault="0054302B" w:rsidP="0054302B">
      <w:pPr>
        <w:pStyle w:val="Ttulo1"/>
        <w:spacing w:line="360" w:lineRule="auto"/>
        <w:jc w:val="both"/>
        <w:rPr>
          <w:rFonts w:ascii="Arial" w:hAnsi="Arial" w:cs="Arial"/>
          <w:color w:val="000000" w:themeColor="text1"/>
        </w:rPr>
      </w:pPr>
    </w:p>
    <w:p w14:paraId="280C868F" w14:textId="77777777" w:rsidR="0054302B" w:rsidRPr="0054302B" w:rsidRDefault="0054302B" w:rsidP="0054302B"/>
    <w:p w14:paraId="33A4E954" w14:textId="77777777" w:rsidR="0054302B" w:rsidRDefault="0054302B" w:rsidP="0054302B">
      <w:pPr>
        <w:pStyle w:val="Ttulo1"/>
        <w:spacing w:line="360" w:lineRule="auto"/>
        <w:jc w:val="both"/>
        <w:rPr>
          <w:rFonts w:ascii="Arial" w:hAnsi="Arial" w:cs="Arial"/>
          <w:color w:val="000000" w:themeColor="text1"/>
        </w:rPr>
      </w:pPr>
    </w:p>
    <w:p w14:paraId="368CAC08" w14:textId="0392D93F"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5. Política interna de comisiones</w:t>
      </w:r>
    </w:p>
    <w:p w14:paraId="4DB08958"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Las comisiones constituyen un reconocimiento variable por resultados. No son salario ni generan por sí mismas relación laboral.</w:t>
      </w:r>
    </w:p>
    <w:p w14:paraId="0891D807"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Las comisiones se reconocen únicamente sobre membresías ACTIVAS con pago confirmado y trazabilidad completa en CRM.</w:t>
      </w:r>
    </w:p>
    <w:p w14:paraId="5E193CF6"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El CRM es la fuente oficial para liquidación. Registros fuera del CRM no generan pago.</w:t>
      </w:r>
    </w:p>
    <w:p w14:paraId="0944A0F5"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El esquema comisional es uniforme para personal interno y externos; la diferencia se limita al proceso de habilitación y control.</w:t>
      </w:r>
    </w:p>
    <w:p w14:paraId="28DF8696"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lang w:val="es-CO"/>
        </w:rPr>
        <w:t xml:space="preserve">Se prohíbe manipular estados, duplicar registros o alterar atribución de código. </w:t>
      </w:r>
      <w:proofErr w:type="spellStart"/>
      <w:r w:rsidRPr="0054302B">
        <w:rPr>
          <w:rFonts w:ascii="Arial" w:hAnsi="Arial" w:cs="Arial"/>
          <w:color w:val="000000" w:themeColor="text1"/>
        </w:rPr>
        <w:t>Hallazgos</w:t>
      </w:r>
      <w:proofErr w:type="spellEnd"/>
      <w:r w:rsidRPr="0054302B">
        <w:rPr>
          <w:rFonts w:ascii="Arial" w:hAnsi="Arial" w:cs="Arial"/>
          <w:color w:val="000000" w:themeColor="text1"/>
        </w:rPr>
        <w:t xml:space="preserve"> </w:t>
      </w:r>
      <w:proofErr w:type="spellStart"/>
      <w:r w:rsidRPr="0054302B">
        <w:rPr>
          <w:rFonts w:ascii="Arial" w:hAnsi="Arial" w:cs="Arial"/>
          <w:color w:val="000000" w:themeColor="text1"/>
        </w:rPr>
        <w:t>podrán</w:t>
      </w:r>
      <w:proofErr w:type="spellEnd"/>
      <w:r w:rsidRPr="0054302B">
        <w:rPr>
          <w:rFonts w:ascii="Arial" w:hAnsi="Arial" w:cs="Arial"/>
          <w:color w:val="000000" w:themeColor="text1"/>
        </w:rPr>
        <w:t xml:space="preserve"> </w:t>
      </w:r>
      <w:proofErr w:type="spellStart"/>
      <w:r w:rsidRPr="0054302B">
        <w:rPr>
          <w:rFonts w:ascii="Arial" w:hAnsi="Arial" w:cs="Arial"/>
          <w:color w:val="000000" w:themeColor="text1"/>
        </w:rPr>
        <w:t>generar</w:t>
      </w:r>
      <w:proofErr w:type="spellEnd"/>
      <w:r w:rsidRPr="0054302B">
        <w:rPr>
          <w:rFonts w:ascii="Arial" w:hAnsi="Arial" w:cs="Arial"/>
          <w:color w:val="000000" w:themeColor="text1"/>
        </w:rPr>
        <w:t xml:space="preserve"> reversos y </w:t>
      </w:r>
      <w:proofErr w:type="spellStart"/>
      <w:r w:rsidRPr="0054302B">
        <w:rPr>
          <w:rFonts w:ascii="Arial" w:hAnsi="Arial" w:cs="Arial"/>
          <w:color w:val="000000" w:themeColor="text1"/>
        </w:rPr>
        <w:t>bloqueo</w:t>
      </w:r>
      <w:proofErr w:type="spellEnd"/>
      <w:r w:rsidRPr="0054302B">
        <w:rPr>
          <w:rFonts w:ascii="Arial" w:hAnsi="Arial" w:cs="Arial"/>
          <w:color w:val="000000" w:themeColor="text1"/>
        </w:rPr>
        <w:t>.</w:t>
      </w:r>
    </w:p>
    <w:p w14:paraId="5CFC7B4A" w14:textId="77777777" w:rsidR="0054302B" w:rsidRDefault="0054302B" w:rsidP="0054302B">
      <w:pPr>
        <w:pStyle w:val="Ttulo1"/>
        <w:spacing w:line="360" w:lineRule="auto"/>
        <w:jc w:val="both"/>
        <w:rPr>
          <w:rFonts w:ascii="Arial" w:hAnsi="Arial" w:cs="Arial"/>
          <w:color w:val="000000" w:themeColor="text1"/>
        </w:rPr>
      </w:pPr>
    </w:p>
    <w:p w14:paraId="223AE915" w14:textId="58981222"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6. Valores oficiales MIA PASS y base comisional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4302B" w:rsidRPr="0054302B" w14:paraId="2BC01AEE" w14:textId="77777777" w:rsidTr="00843C46">
        <w:tc>
          <w:tcPr>
            <w:tcW w:w="4320" w:type="dxa"/>
          </w:tcPr>
          <w:p w14:paraId="490C9422"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Concepto</w:t>
            </w:r>
          </w:p>
        </w:tc>
        <w:tc>
          <w:tcPr>
            <w:tcW w:w="4320" w:type="dxa"/>
          </w:tcPr>
          <w:p w14:paraId="029BBD76"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Valor</w:t>
            </w:r>
          </w:p>
        </w:tc>
      </w:tr>
      <w:tr w:rsidR="0054302B" w:rsidRPr="0054302B" w14:paraId="64C5D6CA" w14:textId="77777777" w:rsidTr="00843C46">
        <w:tc>
          <w:tcPr>
            <w:tcW w:w="4320" w:type="dxa"/>
          </w:tcPr>
          <w:p w14:paraId="03D5E5BF"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Valor membresía MIA PASS (IVA incluido)</w:t>
            </w:r>
          </w:p>
        </w:tc>
        <w:tc>
          <w:tcPr>
            <w:tcW w:w="4320" w:type="dxa"/>
          </w:tcPr>
          <w:p w14:paraId="3FDB8D3B"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$237.981 COP</w:t>
            </w:r>
          </w:p>
        </w:tc>
      </w:tr>
      <w:tr w:rsidR="0054302B" w:rsidRPr="0054302B" w14:paraId="73420A3F" w14:textId="77777777" w:rsidTr="00843C46">
        <w:tc>
          <w:tcPr>
            <w:tcW w:w="4320" w:type="dxa"/>
          </w:tcPr>
          <w:p w14:paraId="14CDF2BB"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Base comisional (sin IVA)</w:t>
            </w:r>
          </w:p>
        </w:tc>
        <w:tc>
          <w:tcPr>
            <w:tcW w:w="4320" w:type="dxa"/>
          </w:tcPr>
          <w:p w14:paraId="3BE5A043"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$199.900 COP</w:t>
            </w:r>
          </w:p>
        </w:tc>
      </w:tr>
      <w:tr w:rsidR="0054302B" w:rsidRPr="0054302B" w14:paraId="4ECD80CB" w14:textId="77777777" w:rsidTr="00843C46">
        <w:tc>
          <w:tcPr>
            <w:tcW w:w="4320" w:type="dxa"/>
          </w:tcPr>
          <w:p w14:paraId="478FFFE8"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Presupuesto mensual por vendedor</w:t>
            </w:r>
          </w:p>
        </w:tc>
        <w:tc>
          <w:tcPr>
            <w:tcW w:w="4320" w:type="dxa"/>
          </w:tcPr>
          <w:p w14:paraId="7A594C35" w14:textId="6FA6A9C3"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30 membresías activas</w:t>
            </w:r>
          </w:p>
        </w:tc>
      </w:tr>
      <w:tr w:rsidR="0054302B" w:rsidRPr="0054302B" w14:paraId="394F4866" w14:textId="77777777" w:rsidTr="00843C46">
        <w:tc>
          <w:tcPr>
            <w:tcW w:w="4320" w:type="dxa"/>
          </w:tcPr>
          <w:p w14:paraId="3CD2C92F"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Unidad de medición</w:t>
            </w:r>
          </w:p>
        </w:tc>
        <w:tc>
          <w:tcPr>
            <w:tcW w:w="4320" w:type="dxa"/>
          </w:tcPr>
          <w:p w14:paraId="7D7CD6F4"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Membresía activa (venta válida)</w:t>
            </w:r>
          </w:p>
        </w:tc>
      </w:tr>
    </w:tbl>
    <w:p w14:paraId="31995157"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Nota: Los valores podrán actualizarse por decisión gerencial. Cualquier cambio se comunicará por circular interna y aplicará a partir del periodo definido en la comunicación.</w:t>
      </w:r>
    </w:p>
    <w:p w14:paraId="320445A9" w14:textId="77777777" w:rsidR="0054302B" w:rsidRDefault="0054302B" w:rsidP="0054302B">
      <w:pPr>
        <w:pStyle w:val="Ttulo1"/>
        <w:spacing w:line="360" w:lineRule="auto"/>
        <w:jc w:val="both"/>
        <w:rPr>
          <w:rFonts w:ascii="Arial" w:hAnsi="Arial" w:cs="Arial"/>
          <w:color w:val="000000" w:themeColor="text1"/>
        </w:rPr>
      </w:pPr>
    </w:p>
    <w:p w14:paraId="61D239BD" w14:textId="5D12B706"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7. Esquema de pagos: porcentajes y valores</w:t>
      </w:r>
    </w:p>
    <w:p w14:paraId="58FDFE45"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La liquidación se realiza sobre la base comisional sin IVA ($199.900).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54302B" w:rsidRPr="0054302B" w14:paraId="6A76490E" w14:textId="77777777" w:rsidTr="00843C46">
        <w:tc>
          <w:tcPr>
            <w:tcW w:w="1728" w:type="dxa"/>
          </w:tcPr>
          <w:p w14:paraId="23108B83"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Tramo</w:t>
            </w:r>
          </w:p>
        </w:tc>
        <w:tc>
          <w:tcPr>
            <w:tcW w:w="1728" w:type="dxa"/>
          </w:tcPr>
          <w:p w14:paraId="4CC4F063"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Condición</w:t>
            </w:r>
          </w:p>
        </w:tc>
        <w:tc>
          <w:tcPr>
            <w:tcW w:w="1728" w:type="dxa"/>
          </w:tcPr>
          <w:p w14:paraId="3A46F0F7"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w:t>
            </w:r>
          </w:p>
        </w:tc>
        <w:tc>
          <w:tcPr>
            <w:tcW w:w="1728" w:type="dxa"/>
          </w:tcPr>
          <w:p w14:paraId="4E96F5E4"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 xml:space="preserve">Comisión </w:t>
            </w:r>
            <w:proofErr w:type="spellStart"/>
            <w:r w:rsidRPr="0054302B">
              <w:rPr>
                <w:rFonts w:ascii="Arial" w:hAnsi="Arial" w:cs="Arial"/>
                <w:b/>
                <w:bCs/>
                <w:color w:val="000000" w:themeColor="text1"/>
              </w:rPr>
              <w:t>unit</w:t>
            </w:r>
            <w:proofErr w:type="spellEnd"/>
            <w:r w:rsidRPr="0054302B">
              <w:rPr>
                <w:rFonts w:ascii="Arial" w:hAnsi="Arial" w:cs="Arial"/>
                <w:b/>
                <w:bCs/>
                <w:color w:val="000000" w:themeColor="text1"/>
              </w:rPr>
              <w:t>. (COP)</w:t>
            </w:r>
          </w:p>
        </w:tc>
        <w:tc>
          <w:tcPr>
            <w:tcW w:w="1728" w:type="dxa"/>
          </w:tcPr>
          <w:p w14:paraId="10641495"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Observación</w:t>
            </w:r>
          </w:p>
        </w:tc>
      </w:tr>
      <w:tr w:rsidR="0054302B" w:rsidRPr="0054302B" w14:paraId="2196B501" w14:textId="77777777" w:rsidTr="00843C46">
        <w:tc>
          <w:tcPr>
            <w:tcW w:w="1728" w:type="dxa"/>
          </w:tcPr>
          <w:p w14:paraId="56DD8F60"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Comisión estándar</w:t>
            </w:r>
          </w:p>
        </w:tc>
        <w:tc>
          <w:tcPr>
            <w:tcW w:w="1728" w:type="dxa"/>
          </w:tcPr>
          <w:p w14:paraId="0CD2484B" w14:textId="04DA930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Venta #1 a #30 (activas)</w:t>
            </w:r>
          </w:p>
        </w:tc>
        <w:tc>
          <w:tcPr>
            <w:tcW w:w="1728" w:type="dxa"/>
          </w:tcPr>
          <w:p w14:paraId="7A2C26BB"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25%</w:t>
            </w:r>
          </w:p>
        </w:tc>
        <w:tc>
          <w:tcPr>
            <w:tcW w:w="1728" w:type="dxa"/>
          </w:tcPr>
          <w:p w14:paraId="0AD6CAB3"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$49.976</w:t>
            </w:r>
          </w:p>
        </w:tc>
        <w:tc>
          <w:tcPr>
            <w:tcW w:w="1728" w:type="dxa"/>
          </w:tcPr>
          <w:p w14:paraId="6D2AE4C1"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Aplica por defecto si cumple trazabilidad.</w:t>
            </w:r>
          </w:p>
        </w:tc>
      </w:tr>
      <w:tr w:rsidR="0054302B" w:rsidRPr="0054302B" w14:paraId="4CA548D5" w14:textId="77777777" w:rsidTr="00843C46">
        <w:tc>
          <w:tcPr>
            <w:tcW w:w="1728" w:type="dxa"/>
          </w:tcPr>
          <w:p w14:paraId="2DAAA8A1"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Incentivo movilizador</w:t>
            </w:r>
          </w:p>
        </w:tc>
        <w:tc>
          <w:tcPr>
            <w:tcW w:w="1728" w:type="dxa"/>
          </w:tcPr>
          <w:p w14:paraId="0713E3FC" w14:textId="5726402A"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Venta #31 en adelante (activas)</w:t>
            </w:r>
          </w:p>
        </w:tc>
        <w:tc>
          <w:tcPr>
            <w:tcW w:w="1728" w:type="dxa"/>
          </w:tcPr>
          <w:p w14:paraId="211DF691"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30%</w:t>
            </w:r>
          </w:p>
        </w:tc>
        <w:tc>
          <w:tcPr>
            <w:tcW w:w="1728" w:type="dxa"/>
          </w:tcPr>
          <w:p w14:paraId="1588DF1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$59.970</w:t>
            </w:r>
          </w:p>
        </w:tc>
        <w:tc>
          <w:tcPr>
            <w:tcW w:w="1728" w:type="dxa"/>
          </w:tcPr>
          <w:p w14:paraId="3EE4051F"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Aplica solo sobre ventas excedentes del presupuesto.</w:t>
            </w:r>
          </w:p>
        </w:tc>
      </w:tr>
    </w:tbl>
    <w:p w14:paraId="7BE7F3A9"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8. Incentivo movilizador por sobrecumplimiento</w:t>
      </w:r>
    </w:p>
    <w:p w14:paraId="0C7B83E6" w14:textId="29C6DD04"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El incentivo movilizador se activa cuando el vendedor supera el presupuesto mensual de 30 membresías activas. A partir de la membresía activa número 31, la comisión se calcula al 30% sobre la base comisional. El objetivo del incentivo es estimular productividad sostenida, acelerar cierres y premiar el sobrecumplimiento.</w:t>
      </w:r>
    </w:p>
    <w:p w14:paraId="797FB870"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9. Modelo para personal interno y externos</w:t>
      </w:r>
    </w:p>
    <w:p w14:paraId="33D38F22"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El esquema comisional es el mismo. Cambia el proceso de habilitación y control según el tipo de participante:</w:t>
      </w:r>
    </w:p>
    <w:p w14:paraId="07835147" w14:textId="77777777" w:rsidR="0054302B" w:rsidRDefault="0054302B" w:rsidP="0054302B">
      <w:pPr>
        <w:pStyle w:val="Ttulo2"/>
        <w:spacing w:line="360" w:lineRule="auto"/>
        <w:jc w:val="both"/>
        <w:rPr>
          <w:rFonts w:ascii="Arial" w:hAnsi="Arial" w:cs="Arial"/>
          <w:color w:val="000000" w:themeColor="text1"/>
        </w:rPr>
      </w:pPr>
    </w:p>
    <w:p w14:paraId="5626DB4D" w14:textId="68F12E1F" w:rsidR="00843C46" w:rsidRPr="0054302B" w:rsidRDefault="00843C46" w:rsidP="0054302B">
      <w:pPr>
        <w:pStyle w:val="Ttulo2"/>
        <w:spacing w:line="360" w:lineRule="auto"/>
        <w:jc w:val="both"/>
        <w:rPr>
          <w:rFonts w:ascii="Arial" w:hAnsi="Arial" w:cs="Arial"/>
          <w:color w:val="000000" w:themeColor="text1"/>
        </w:rPr>
      </w:pPr>
      <w:r w:rsidRPr="0054302B">
        <w:rPr>
          <w:rFonts w:ascii="Arial" w:hAnsi="Arial" w:cs="Arial"/>
          <w:color w:val="000000" w:themeColor="text1"/>
        </w:rPr>
        <w:t>9.1 Personal interno</w:t>
      </w:r>
    </w:p>
    <w:p w14:paraId="2BB7EB8C"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Se habilita mediante autorización de la Dirección Comercial y registro del código (cédula) en el CRM.</w:t>
      </w:r>
    </w:p>
    <w:p w14:paraId="49D413C7"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Puede realizar ventas directas, por referidos o por canales institucionales asignados.</w:t>
      </w:r>
    </w:p>
    <w:p w14:paraId="6807A2CA"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Se sujeta a políticas internas de ética, uso de datos, seguridad de la información y conducta.</w:t>
      </w:r>
    </w:p>
    <w:p w14:paraId="07FD15FF" w14:textId="77777777" w:rsidR="00843C46" w:rsidRPr="0054302B" w:rsidRDefault="00843C46" w:rsidP="0054302B">
      <w:pPr>
        <w:pStyle w:val="Ttulo2"/>
        <w:spacing w:line="360" w:lineRule="auto"/>
        <w:jc w:val="both"/>
        <w:rPr>
          <w:rFonts w:ascii="Arial" w:hAnsi="Arial" w:cs="Arial"/>
          <w:color w:val="000000" w:themeColor="text1"/>
        </w:rPr>
      </w:pPr>
      <w:r w:rsidRPr="0054302B">
        <w:rPr>
          <w:rFonts w:ascii="Arial" w:hAnsi="Arial" w:cs="Arial"/>
          <w:color w:val="000000" w:themeColor="text1"/>
        </w:rPr>
        <w:t>9.2 Personal externo / aliados / referidores</w:t>
      </w:r>
    </w:p>
    <w:p w14:paraId="13419FB9"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Se habilita mediante registro del titular del código (cédula), datos mínimos de contacto y aceptación del Anexo A.</w:t>
      </w:r>
    </w:p>
    <w:p w14:paraId="579925A4"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Actúa de manera autónoma, sin subordinación, horario ni exclusividad.</w:t>
      </w:r>
    </w:p>
    <w:p w14:paraId="2945EF94"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Puede vender por su red, referidos o activaciones autorizadas, respetando mensajes veraces y protección de datos.</w:t>
      </w:r>
    </w:p>
    <w:p w14:paraId="7B04C2ED"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10. Modelo sin contrato: reconocimiento por gestión de servicio</w:t>
      </w:r>
    </w:p>
    <w:p w14:paraId="00B6E6DA"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La afiliación y comercialización de MIA PASS puede realizarse sin contrato individual de compraventa o de prestación de servicios con el gestor para cada venta. En este marco, el pago de comisión se entiende como un reconocimiento económico por la gestión puntual de un servicio de promoción, canalización y activación de la membresía, liquidado por resultados, bajo reglas previamente publicadas en estas políticas.</w:t>
      </w:r>
    </w:p>
    <w:p w14:paraId="03C2EA47"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Este modelo es comparable a esquemas de plataformas y cuponeras donde se reconoce un pago por gestión efectiva de una acción comercial (p. ej., activación/redención), sin que ello implique necesariamente una relación laboral o contractual permanente. Cada venta constituye una gestión individual y autónoma, pagadera solo si cumple las condiciones de 'membresía activa' y trazabilidad.</w:t>
      </w:r>
    </w:p>
    <w:p w14:paraId="31DEF72E" w14:textId="77777777" w:rsid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 xml:space="preserve">La organización podrá, cuando lo considere necesario, formalizar acuerdos marco con aliados o promotores. Sin embargo, la inexistencia de un contrato individual por cada venta </w:t>
      </w:r>
    </w:p>
    <w:p w14:paraId="694C71AA" w14:textId="77777777" w:rsidR="0054302B" w:rsidRDefault="0054302B" w:rsidP="0054302B">
      <w:pPr>
        <w:spacing w:line="360" w:lineRule="auto"/>
        <w:jc w:val="both"/>
        <w:rPr>
          <w:rFonts w:ascii="Arial" w:hAnsi="Arial" w:cs="Arial"/>
          <w:color w:val="000000" w:themeColor="text1"/>
        </w:rPr>
      </w:pPr>
    </w:p>
    <w:p w14:paraId="17C491DD" w14:textId="77777777" w:rsidR="0054302B" w:rsidRDefault="0054302B" w:rsidP="0054302B">
      <w:pPr>
        <w:spacing w:line="360" w:lineRule="auto"/>
        <w:jc w:val="both"/>
        <w:rPr>
          <w:rFonts w:ascii="Arial" w:hAnsi="Arial" w:cs="Arial"/>
          <w:color w:val="000000" w:themeColor="text1"/>
        </w:rPr>
      </w:pPr>
    </w:p>
    <w:p w14:paraId="67A2584B" w14:textId="34B17AE6"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no impide el pago del reconocimiento siempre que la venta esté debidamente soportada en el CRM y cumpla estas políticas.</w:t>
      </w:r>
    </w:p>
    <w:p w14:paraId="5A222AEA"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11. Código de venta y pago por cédula</w:t>
      </w:r>
    </w:p>
    <w:p w14:paraId="6BD542A6"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El código único de atribución y pago corresponde al número de cédula del titular del código. Cualquier persona puede realizar la gestión comercial utilizando dicho código (venta por terceros). La comisión se reconoce exclusivamente al titular del código, consolidando ventas propias y ventas por terceros bajo el mismo identificador.</w:t>
      </w:r>
    </w:p>
    <w:p w14:paraId="6F6ACCDE"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Beneficios del modelo por cédula:</w:t>
      </w:r>
    </w:p>
    <w:p w14:paraId="6F425682"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Escalabilidad: permite fuerza comercial extendida y referidos.</w:t>
      </w:r>
    </w:p>
    <w:p w14:paraId="5EFDAECA"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Control: atribución única y auditable.</w:t>
      </w:r>
    </w:p>
    <w:p w14:paraId="45275512"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Simplicidad CRM: un solo identificador para reportes y liquidación.</w:t>
      </w:r>
    </w:p>
    <w:p w14:paraId="10F77DA4"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12. Condiciones para el reconocimiento de comisiones</w:t>
      </w:r>
    </w:p>
    <w:p w14:paraId="019BB7DA"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Para que una comisión sea válida, la membresía debe cumplir TODAS las condiciones siguientes:</w:t>
      </w:r>
    </w:p>
    <w:p w14:paraId="4DE8CD4F"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Pago confirmado (pasarela/transferencia/caja) y conciliado.</w:t>
      </w:r>
    </w:p>
    <w:p w14:paraId="7719227E"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Registro completo en CRM con: fecha, código (cédula), canal, producto, valor, responsable de activación.</w:t>
      </w:r>
    </w:p>
    <w:p w14:paraId="1A4D3C6E"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Estado de la membresía en CRM: ACTIVA.</w:t>
      </w:r>
    </w:p>
    <w:p w14:paraId="2013F6CB"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No presentar devoluciones, reversos o cancelación dentro del periodo de corte.</w:t>
      </w:r>
    </w:p>
    <w:p w14:paraId="38EF9161"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No presentar evidencias de fraude, duplicidad o suplantación.</w:t>
      </w:r>
    </w:p>
    <w:p w14:paraId="2DB95AAF" w14:textId="77777777" w:rsidR="0054302B" w:rsidRDefault="0054302B" w:rsidP="0054302B">
      <w:pPr>
        <w:pStyle w:val="Ttulo1"/>
        <w:spacing w:line="360" w:lineRule="auto"/>
        <w:jc w:val="both"/>
        <w:rPr>
          <w:rFonts w:ascii="Arial" w:hAnsi="Arial" w:cs="Arial"/>
          <w:color w:val="000000" w:themeColor="text1"/>
        </w:rPr>
      </w:pPr>
    </w:p>
    <w:p w14:paraId="59A90297" w14:textId="51290533"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13. Exclusiones, devoluciones y novedades</w:t>
      </w:r>
    </w:p>
    <w:p w14:paraId="43D53837"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No generan comisión (o generan reverso) los siguientes casos:</w:t>
      </w:r>
    </w:p>
    <w:p w14:paraId="65DA7C41"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Membresías ANULADAS o CANCELADAS.</w:t>
      </w:r>
    </w:p>
    <w:p w14:paraId="09DDC77F"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Membresías con DEVOLUCIÓN / REVERSO de pago.</w:t>
      </w:r>
    </w:p>
    <w:p w14:paraId="1C3B0C9C"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Membresías sin trazabilidad completa en CRM (campos obligatorios vacíos o inconsistentes).</w:t>
      </w:r>
    </w:p>
    <w:p w14:paraId="205F7C5D"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Membresías duplicadas o con atribución de código adulterada.</w:t>
      </w:r>
    </w:p>
    <w:p w14:paraId="0A32BE66"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Membresías con novedades que impliquen corrección de valor o estado y afecten la validez de la venta.</w:t>
      </w:r>
    </w:p>
    <w:p w14:paraId="57BF14E3"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Regla de reverso: Si una venta fue liquidada y posteriormente se confirma devolución o cancelación, la organización realizará el descuento en el siguiente periodo de pago (o compensación equivalente).</w:t>
      </w:r>
    </w:p>
    <w:p w14:paraId="58912D64"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14. Parametrización en CRM (campos mínimos y estados)</w:t>
      </w:r>
    </w:p>
    <w:p w14:paraId="548748DE"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El CRM debe contener como mínimo los siguientes campos para liquidación y auditoría:</w:t>
      </w:r>
    </w:p>
    <w:p w14:paraId="650349EF"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ID de venta (único).</w:t>
      </w:r>
    </w:p>
    <w:p w14:paraId="4A383522"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Producto: MIA PASS.</w:t>
      </w:r>
    </w:p>
    <w:p w14:paraId="695B34FD"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Valor con IVA y base sin IVA.</w:t>
      </w:r>
    </w:p>
    <w:p w14:paraId="6B0CAD5E"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Código de vendedor (cédula).</w:t>
      </w:r>
    </w:p>
    <w:p w14:paraId="6063D8B9"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Nombre del titular del código.</w:t>
      </w:r>
    </w:p>
    <w:p w14:paraId="717E087F"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Canal (presencial / WhatsApp / web / aliado / evento / referidos).</w:t>
      </w:r>
    </w:p>
    <w:p w14:paraId="0B18E16F"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Fecha de creación y fecha de activación.</w:t>
      </w:r>
    </w:p>
    <w:p w14:paraId="548D0503"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Estado: PENDIENTE PAGO / PAGADA / ACTIVA / ANULADA / DEVUELTA / CANCELADA.</w:t>
      </w:r>
    </w:p>
    <w:p w14:paraId="41062BF1"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Medio de pago y comprobante/conciliación.</w:t>
      </w:r>
    </w:p>
    <w:p w14:paraId="24D08CF3"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Observaciones y registro de novedades.</w:t>
      </w:r>
    </w:p>
    <w:p w14:paraId="32908C43" w14:textId="77777777" w:rsidR="0054302B" w:rsidRDefault="0054302B" w:rsidP="0054302B">
      <w:pPr>
        <w:spacing w:line="360" w:lineRule="auto"/>
        <w:jc w:val="both"/>
        <w:rPr>
          <w:rFonts w:ascii="Arial" w:hAnsi="Arial" w:cs="Arial"/>
          <w:color w:val="000000" w:themeColor="text1"/>
        </w:rPr>
      </w:pPr>
    </w:p>
    <w:p w14:paraId="335C2152" w14:textId="77777777" w:rsidR="0054302B" w:rsidRDefault="0054302B" w:rsidP="0054302B">
      <w:pPr>
        <w:spacing w:line="360" w:lineRule="auto"/>
        <w:jc w:val="both"/>
        <w:rPr>
          <w:rFonts w:ascii="Arial" w:hAnsi="Arial" w:cs="Arial"/>
          <w:color w:val="000000" w:themeColor="text1"/>
        </w:rPr>
      </w:pPr>
    </w:p>
    <w:p w14:paraId="7150F28D" w14:textId="70771370" w:rsidR="0044725B"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Fuente oficial: La liquidación se efectuará exclusivamente sobre estados ACTIVA dentro del periodo. Estados intermedios (pendiente/pagada sin activar) no generan comisión.</w:t>
      </w:r>
    </w:p>
    <w:p w14:paraId="1E96572B" w14:textId="4B7F64F5"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15. Control, auditoría y gobierno de datos</w:t>
      </w:r>
    </w:p>
    <w:p w14:paraId="089AD215"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Controles mínimos:</w:t>
      </w:r>
    </w:p>
    <w:p w14:paraId="367A31B7"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Corte y reporte oficial desde CRM (exportable).</w:t>
      </w:r>
    </w:p>
    <w:p w14:paraId="08D21B44"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Conciliación financiera de pagos vs ventas activas.</w:t>
      </w:r>
    </w:p>
    <w:p w14:paraId="7F6CB4C0"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Validación de duplicidades por documento del comprador y por transacción.</w:t>
      </w:r>
    </w:p>
    <w:p w14:paraId="085F1AAC"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Auditoría aleatoria de soportes (comprobante, evidencia de activación).</w:t>
      </w:r>
    </w:p>
    <w:p w14:paraId="438EE1C5"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Bloqueo de código ante hallazgos de fraude o inconsistencias reiteradas.</w:t>
      </w:r>
    </w:p>
    <w:p w14:paraId="5B781FA0"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Protección de datos: el uso de información personal debe cumplir con la normativa de protección de datos aplicable (consentimiento, finalidad, seguridad). El incumplimiento podrá generar suspensión del código y medidas internas.</w:t>
      </w:r>
    </w:p>
    <w:p w14:paraId="2A622DE5" w14:textId="77777777"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16. Periodicidad de corte, liquidación y pago</w:t>
      </w:r>
    </w:p>
    <w:p w14:paraId="13876BD5"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Esquema estándar:</w:t>
      </w:r>
    </w:p>
    <w:p w14:paraId="4D40825A"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Corte: mensual (último día calendario del mes) o según directriz gerencial.</w:t>
      </w:r>
    </w:p>
    <w:p w14:paraId="3ED58479"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Liquidación: primeros días hábiles del mes siguiente, con base en reporte CRM y conciliación.</w:t>
      </w:r>
    </w:p>
    <w:p w14:paraId="2047DE44"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Pago: según calendario financiero definido por la organización.</w:t>
      </w:r>
    </w:p>
    <w:p w14:paraId="0026950C" w14:textId="77777777"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lang w:val="es-CO"/>
        </w:rPr>
      </w:pPr>
      <w:r w:rsidRPr="0054302B">
        <w:rPr>
          <w:rFonts w:ascii="Arial" w:hAnsi="Arial" w:cs="Arial"/>
          <w:color w:val="000000" w:themeColor="text1"/>
          <w:lang w:val="es-CO"/>
        </w:rPr>
        <w:t>Soporte: reporte CRM + acta o planilla de liquidación firmada/validada por Dirección Comercial y Financiera.</w:t>
      </w:r>
    </w:p>
    <w:p w14:paraId="2A4F7BFB" w14:textId="77777777" w:rsidR="0054302B" w:rsidRDefault="0054302B" w:rsidP="0054302B">
      <w:pPr>
        <w:pStyle w:val="Ttulo1"/>
        <w:spacing w:line="360" w:lineRule="auto"/>
        <w:jc w:val="both"/>
        <w:rPr>
          <w:rFonts w:ascii="Arial" w:hAnsi="Arial" w:cs="Arial"/>
          <w:color w:val="000000" w:themeColor="text1"/>
        </w:rPr>
      </w:pPr>
    </w:p>
    <w:p w14:paraId="6330A5A1" w14:textId="464042CD"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17. Tratamiento de inconsistencias y ajustes</w:t>
      </w:r>
    </w:p>
    <w:p w14:paraId="5C4EFB23"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Si un participante identifica inconsistencias (código mal asignado, estado incorrecto, venta no contabilizada), deberá reportarlo dentro de los 5 días hábiles siguientes al envío del preliquidado. Pasado ese plazo, la liquidación se considerará aceptada salvo hallazgos de auditoría.</w:t>
      </w:r>
    </w:p>
    <w:p w14:paraId="29C62904" w14:textId="209A9B86"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La organización podrá corregir ventas, revertir pagos improcedentes y ajustar reportes en cualquier momento cuando exista evidencia verificable de error o fraude</w:t>
      </w:r>
    </w:p>
    <w:p w14:paraId="316583ED" w14:textId="0A5CEB93" w:rsidR="00843C46" w:rsidRPr="0054302B" w:rsidRDefault="00843C46" w:rsidP="0054302B">
      <w:pPr>
        <w:pStyle w:val="Ttulo1"/>
        <w:spacing w:line="360" w:lineRule="auto"/>
        <w:jc w:val="both"/>
        <w:rPr>
          <w:rFonts w:ascii="Arial" w:hAnsi="Arial" w:cs="Arial"/>
          <w:color w:val="000000" w:themeColor="text1"/>
        </w:rPr>
      </w:pPr>
      <w:r w:rsidRPr="0054302B">
        <w:rPr>
          <w:rFonts w:ascii="Arial" w:hAnsi="Arial" w:cs="Arial"/>
          <w:color w:val="000000" w:themeColor="text1"/>
        </w:rPr>
        <w:t>18. Disposiciones finales</w:t>
      </w:r>
    </w:p>
    <w:p w14:paraId="1E82FA09"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La Gerencia podrá modificar porcentajes, presupuestos, tramos o reglas mediante comunicación interna. Los cambios aplicarán a partir del periodo indicado. La participación en el esquema implica aceptación expresa de estas políticas y de sus actualizaciones.</w:t>
      </w:r>
    </w:p>
    <w:p w14:paraId="0F7BCD24" w14:textId="77777777" w:rsidR="00843C46" w:rsidRPr="0054302B" w:rsidRDefault="00843C46" w:rsidP="0054302B">
      <w:pPr>
        <w:spacing w:line="360" w:lineRule="auto"/>
        <w:jc w:val="both"/>
        <w:rPr>
          <w:rFonts w:ascii="Arial" w:hAnsi="Arial" w:cs="Arial"/>
          <w:color w:val="000000" w:themeColor="text1"/>
        </w:rPr>
      </w:pPr>
    </w:p>
    <w:p w14:paraId="33402DE1" w14:textId="0E34826A"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Anexo A. Aceptación de políticas de comisiones (formato de firma)</w:t>
      </w:r>
    </w:p>
    <w:p w14:paraId="402CD213"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Yo, _______________________________, identificado(a) con cédula de ciudadanía No. __________________,</w:t>
      </w:r>
    </w:p>
    <w:p w14:paraId="12840BBB"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declaro que he leído, entendido y acepto las POLÍTICAS DE COMISIONES – MIA PASS (Vigencia 2026).</w:t>
      </w:r>
    </w:p>
    <w:p w14:paraId="6EC2BCD4"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Me obligo a registrar ventas únicamente bajo información veraz, con trazabilidad en CRM y conforme a los estados definidos.</w:t>
      </w:r>
    </w:p>
    <w:p w14:paraId="3FD2FE30"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Entiendo que el reconocimiento económico corresponde a una gestión por resultados y que solo se paga por membresías ACTIVAS.</w:t>
      </w:r>
    </w:p>
    <w:p w14:paraId="1C6E43F1"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Firma: ____________________________    Fecha: ____ / ____ / 2026    Ciudad: __________________</w:t>
      </w:r>
    </w:p>
    <w:p w14:paraId="4D31397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br w:type="page"/>
      </w:r>
    </w:p>
    <w:p w14:paraId="74772814" w14:textId="65EDCDF4" w:rsidR="00843C46" w:rsidRPr="0054302B" w:rsidRDefault="00843C46" w:rsidP="0054302B">
      <w:pPr>
        <w:pStyle w:val="Ttulo1"/>
        <w:spacing w:line="360" w:lineRule="auto"/>
        <w:jc w:val="both"/>
        <w:rPr>
          <w:rFonts w:ascii="Arial" w:hAnsi="Arial" w:cs="Arial"/>
          <w:color w:val="000000" w:themeColor="text1"/>
          <w:sz w:val="32"/>
          <w:szCs w:val="32"/>
        </w:rPr>
      </w:pPr>
      <w:r w:rsidRPr="0054302B">
        <w:rPr>
          <w:rFonts w:ascii="Arial" w:hAnsi="Arial" w:cs="Arial"/>
          <w:color w:val="000000" w:themeColor="text1"/>
          <w:sz w:val="32"/>
          <w:szCs w:val="32"/>
        </w:rPr>
        <w:lastRenderedPageBreak/>
        <w:t>Anexo B. Diccionario de datos CRM para comisiones (mínimo viable)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4302B" w:rsidRPr="0054302B" w14:paraId="2AA4E078" w14:textId="77777777" w:rsidTr="00843C46">
        <w:tc>
          <w:tcPr>
            <w:tcW w:w="2880" w:type="dxa"/>
          </w:tcPr>
          <w:p w14:paraId="1A4985E6"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Campo</w:t>
            </w:r>
          </w:p>
        </w:tc>
        <w:tc>
          <w:tcPr>
            <w:tcW w:w="2880" w:type="dxa"/>
          </w:tcPr>
          <w:p w14:paraId="11A27B22"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Tipo / ejemplo</w:t>
            </w:r>
          </w:p>
        </w:tc>
        <w:tc>
          <w:tcPr>
            <w:tcW w:w="2880" w:type="dxa"/>
          </w:tcPr>
          <w:p w14:paraId="215A9222"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Obligatorio</w:t>
            </w:r>
          </w:p>
        </w:tc>
      </w:tr>
      <w:tr w:rsidR="0054302B" w:rsidRPr="0054302B" w14:paraId="74A6A32C" w14:textId="77777777" w:rsidTr="00843C46">
        <w:tc>
          <w:tcPr>
            <w:tcW w:w="2880" w:type="dxa"/>
          </w:tcPr>
          <w:p w14:paraId="12442554"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codigo_vendedor</w:t>
            </w:r>
            <w:proofErr w:type="spellEnd"/>
          </w:p>
        </w:tc>
        <w:tc>
          <w:tcPr>
            <w:tcW w:w="2880" w:type="dxa"/>
          </w:tcPr>
          <w:p w14:paraId="5B58B0CD"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Cédula (ej. 93372643)</w:t>
            </w:r>
          </w:p>
        </w:tc>
        <w:tc>
          <w:tcPr>
            <w:tcW w:w="2880" w:type="dxa"/>
          </w:tcPr>
          <w:p w14:paraId="74838588"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w:t>
            </w:r>
          </w:p>
        </w:tc>
      </w:tr>
      <w:tr w:rsidR="0054302B" w:rsidRPr="0054302B" w14:paraId="4BEE5023" w14:textId="77777777" w:rsidTr="00843C46">
        <w:tc>
          <w:tcPr>
            <w:tcW w:w="2880" w:type="dxa"/>
          </w:tcPr>
          <w:p w14:paraId="37CEB710"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estado_membresia</w:t>
            </w:r>
            <w:proofErr w:type="spellEnd"/>
          </w:p>
        </w:tc>
        <w:tc>
          <w:tcPr>
            <w:tcW w:w="2880" w:type="dxa"/>
          </w:tcPr>
          <w:p w14:paraId="10519FD5"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ACTIVA / ANULADA / DEVUELTA</w:t>
            </w:r>
          </w:p>
        </w:tc>
        <w:tc>
          <w:tcPr>
            <w:tcW w:w="2880" w:type="dxa"/>
          </w:tcPr>
          <w:p w14:paraId="266D58A4"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w:t>
            </w:r>
          </w:p>
        </w:tc>
      </w:tr>
      <w:tr w:rsidR="0054302B" w:rsidRPr="0054302B" w14:paraId="19343B43" w14:textId="77777777" w:rsidTr="00843C46">
        <w:tc>
          <w:tcPr>
            <w:tcW w:w="2880" w:type="dxa"/>
          </w:tcPr>
          <w:p w14:paraId="10853046"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fecha_venta</w:t>
            </w:r>
            <w:proofErr w:type="spellEnd"/>
          </w:p>
        </w:tc>
        <w:tc>
          <w:tcPr>
            <w:tcW w:w="2880" w:type="dxa"/>
          </w:tcPr>
          <w:p w14:paraId="6099B3F0"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YYYY-MM-DD</w:t>
            </w:r>
          </w:p>
        </w:tc>
        <w:tc>
          <w:tcPr>
            <w:tcW w:w="2880" w:type="dxa"/>
          </w:tcPr>
          <w:p w14:paraId="0398D51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w:t>
            </w:r>
          </w:p>
        </w:tc>
      </w:tr>
      <w:tr w:rsidR="0054302B" w:rsidRPr="0054302B" w14:paraId="04AEE623" w14:textId="77777777" w:rsidTr="00843C46">
        <w:tc>
          <w:tcPr>
            <w:tcW w:w="2880" w:type="dxa"/>
          </w:tcPr>
          <w:p w14:paraId="03D233A3"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fecha_activacion</w:t>
            </w:r>
            <w:proofErr w:type="spellEnd"/>
          </w:p>
        </w:tc>
        <w:tc>
          <w:tcPr>
            <w:tcW w:w="2880" w:type="dxa"/>
          </w:tcPr>
          <w:p w14:paraId="3213B3D5"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YYYY-MM-DD</w:t>
            </w:r>
          </w:p>
        </w:tc>
        <w:tc>
          <w:tcPr>
            <w:tcW w:w="2880" w:type="dxa"/>
          </w:tcPr>
          <w:p w14:paraId="38E6AE06"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 (para ACTIVA)</w:t>
            </w:r>
          </w:p>
        </w:tc>
      </w:tr>
      <w:tr w:rsidR="0054302B" w:rsidRPr="0054302B" w14:paraId="1614D18F" w14:textId="77777777" w:rsidTr="00843C46">
        <w:tc>
          <w:tcPr>
            <w:tcW w:w="2880" w:type="dxa"/>
          </w:tcPr>
          <w:p w14:paraId="44BF8AE8"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canal</w:t>
            </w:r>
          </w:p>
        </w:tc>
        <w:tc>
          <w:tcPr>
            <w:tcW w:w="2880" w:type="dxa"/>
          </w:tcPr>
          <w:p w14:paraId="0340B6F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WhatsApp / Presencial / Web / Aliado</w:t>
            </w:r>
          </w:p>
        </w:tc>
        <w:tc>
          <w:tcPr>
            <w:tcW w:w="2880" w:type="dxa"/>
          </w:tcPr>
          <w:p w14:paraId="64B886B6"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w:t>
            </w:r>
          </w:p>
        </w:tc>
      </w:tr>
      <w:tr w:rsidR="0054302B" w:rsidRPr="0054302B" w14:paraId="69FA96AD" w14:textId="77777777" w:rsidTr="00843C46">
        <w:tc>
          <w:tcPr>
            <w:tcW w:w="2880" w:type="dxa"/>
          </w:tcPr>
          <w:p w14:paraId="37B81279"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valor_con_iva</w:t>
            </w:r>
            <w:proofErr w:type="spellEnd"/>
          </w:p>
        </w:tc>
        <w:tc>
          <w:tcPr>
            <w:tcW w:w="2880" w:type="dxa"/>
          </w:tcPr>
          <w:p w14:paraId="2BA9764A"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237981</w:t>
            </w:r>
          </w:p>
        </w:tc>
        <w:tc>
          <w:tcPr>
            <w:tcW w:w="2880" w:type="dxa"/>
          </w:tcPr>
          <w:p w14:paraId="1F2BAF8E"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w:t>
            </w:r>
          </w:p>
        </w:tc>
      </w:tr>
      <w:tr w:rsidR="0054302B" w:rsidRPr="0054302B" w14:paraId="394B7932" w14:textId="77777777" w:rsidTr="00843C46">
        <w:tc>
          <w:tcPr>
            <w:tcW w:w="2880" w:type="dxa"/>
          </w:tcPr>
          <w:p w14:paraId="4D735E9D"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base_sin_iva</w:t>
            </w:r>
            <w:proofErr w:type="spellEnd"/>
          </w:p>
        </w:tc>
        <w:tc>
          <w:tcPr>
            <w:tcW w:w="2880" w:type="dxa"/>
          </w:tcPr>
          <w:p w14:paraId="5E0178D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199900</w:t>
            </w:r>
          </w:p>
        </w:tc>
        <w:tc>
          <w:tcPr>
            <w:tcW w:w="2880" w:type="dxa"/>
          </w:tcPr>
          <w:p w14:paraId="7986893A"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w:t>
            </w:r>
          </w:p>
        </w:tc>
      </w:tr>
      <w:tr w:rsidR="0054302B" w:rsidRPr="0054302B" w14:paraId="485F77B8" w14:textId="77777777" w:rsidTr="00843C46">
        <w:tc>
          <w:tcPr>
            <w:tcW w:w="2880" w:type="dxa"/>
          </w:tcPr>
          <w:p w14:paraId="1F754836"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tipo_comision</w:t>
            </w:r>
            <w:proofErr w:type="spellEnd"/>
          </w:p>
        </w:tc>
        <w:tc>
          <w:tcPr>
            <w:tcW w:w="2880" w:type="dxa"/>
          </w:tcPr>
          <w:p w14:paraId="715FF94F"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25% / 30%</w:t>
            </w:r>
          </w:p>
        </w:tc>
        <w:tc>
          <w:tcPr>
            <w:tcW w:w="2880" w:type="dxa"/>
          </w:tcPr>
          <w:p w14:paraId="09EC46A9"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 (calculado)</w:t>
            </w:r>
          </w:p>
        </w:tc>
      </w:tr>
      <w:tr w:rsidR="0054302B" w:rsidRPr="0054302B" w14:paraId="0D8869C8" w14:textId="77777777" w:rsidTr="00843C46">
        <w:tc>
          <w:tcPr>
            <w:tcW w:w="2880" w:type="dxa"/>
          </w:tcPr>
          <w:p w14:paraId="11809BC6"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valor_comision</w:t>
            </w:r>
            <w:proofErr w:type="spellEnd"/>
          </w:p>
        </w:tc>
        <w:tc>
          <w:tcPr>
            <w:tcW w:w="2880" w:type="dxa"/>
          </w:tcPr>
          <w:p w14:paraId="0DE4AAD0"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49976 / 59970</w:t>
            </w:r>
          </w:p>
        </w:tc>
        <w:tc>
          <w:tcPr>
            <w:tcW w:w="2880" w:type="dxa"/>
          </w:tcPr>
          <w:p w14:paraId="1879A3AA"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 (calculado)</w:t>
            </w:r>
          </w:p>
        </w:tc>
      </w:tr>
      <w:tr w:rsidR="00843C46" w:rsidRPr="0054302B" w14:paraId="3D008923" w14:textId="77777777" w:rsidTr="00843C46">
        <w:tc>
          <w:tcPr>
            <w:tcW w:w="2880" w:type="dxa"/>
          </w:tcPr>
          <w:p w14:paraId="454ED9E6"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id_transaccion_pago</w:t>
            </w:r>
            <w:proofErr w:type="spellEnd"/>
          </w:p>
        </w:tc>
        <w:tc>
          <w:tcPr>
            <w:tcW w:w="2880" w:type="dxa"/>
          </w:tcPr>
          <w:p w14:paraId="7D0A27E4" w14:textId="77777777" w:rsidR="00843C46" w:rsidRPr="0054302B" w:rsidRDefault="00843C46" w:rsidP="0054302B">
            <w:pPr>
              <w:spacing w:line="360" w:lineRule="auto"/>
              <w:jc w:val="both"/>
              <w:rPr>
                <w:rFonts w:ascii="Arial" w:hAnsi="Arial" w:cs="Arial"/>
                <w:color w:val="000000" w:themeColor="text1"/>
              </w:rPr>
            </w:pPr>
            <w:proofErr w:type="spellStart"/>
            <w:r w:rsidRPr="0054302B">
              <w:rPr>
                <w:rFonts w:ascii="Arial" w:hAnsi="Arial" w:cs="Arial"/>
                <w:color w:val="000000" w:themeColor="text1"/>
              </w:rPr>
              <w:t>Ref</w:t>
            </w:r>
            <w:proofErr w:type="spellEnd"/>
            <w:r w:rsidRPr="0054302B">
              <w:rPr>
                <w:rFonts w:ascii="Arial" w:hAnsi="Arial" w:cs="Arial"/>
                <w:color w:val="000000" w:themeColor="text1"/>
              </w:rPr>
              <w:t xml:space="preserve"> pasarela / recibo caja</w:t>
            </w:r>
          </w:p>
        </w:tc>
        <w:tc>
          <w:tcPr>
            <w:tcW w:w="2880" w:type="dxa"/>
          </w:tcPr>
          <w:p w14:paraId="09A93FC8"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Sí</w:t>
            </w:r>
          </w:p>
        </w:tc>
      </w:tr>
    </w:tbl>
    <w:p w14:paraId="50FD3617" w14:textId="77777777" w:rsidR="00843C46" w:rsidRPr="0054302B" w:rsidRDefault="00843C46" w:rsidP="0054302B">
      <w:pPr>
        <w:spacing w:line="360" w:lineRule="auto"/>
        <w:jc w:val="both"/>
        <w:rPr>
          <w:rFonts w:ascii="Arial" w:hAnsi="Arial" w:cs="Arial"/>
          <w:color w:val="000000" w:themeColor="text1"/>
        </w:rPr>
      </w:pPr>
    </w:p>
    <w:p w14:paraId="234DF151" w14:textId="1D0B2E55"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Anexo C. Ejemplos de liquidación (escenarios)</w:t>
      </w:r>
    </w:p>
    <w:p w14:paraId="002F870C" w14:textId="1E08FF45"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 xml:space="preserve">Escenario 1: </w:t>
      </w:r>
      <w:r w:rsidR="007647F5" w:rsidRPr="0054302B">
        <w:rPr>
          <w:rFonts w:ascii="Arial" w:hAnsi="Arial" w:cs="Arial"/>
          <w:color w:val="000000" w:themeColor="text1"/>
        </w:rPr>
        <w:t>2</w:t>
      </w:r>
      <w:r w:rsidRPr="0054302B">
        <w:rPr>
          <w:rFonts w:ascii="Arial" w:hAnsi="Arial" w:cs="Arial"/>
          <w:color w:val="000000" w:themeColor="text1"/>
        </w:rPr>
        <w:t>0 ventas activas en el mes</w:t>
      </w:r>
    </w:p>
    <w:p w14:paraId="3A5C89F0" w14:textId="6E7A9B50"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 xml:space="preserve">Comisión total = </w:t>
      </w:r>
      <w:r w:rsidR="007647F5" w:rsidRPr="0054302B">
        <w:rPr>
          <w:rFonts w:ascii="Arial" w:hAnsi="Arial" w:cs="Arial"/>
          <w:color w:val="000000" w:themeColor="text1"/>
        </w:rPr>
        <w:t>2</w:t>
      </w:r>
      <w:r w:rsidRPr="0054302B">
        <w:rPr>
          <w:rFonts w:ascii="Arial" w:hAnsi="Arial" w:cs="Arial"/>
          <w:color w:val="000000" w:themeColor="text1"/>
        </w:rPr>
        <w:t>0 x $49.976 = $</w:t>
      </w:r>
      <w:r w:rsidR="007647F5" w:rsidRPr="0054302B">
        <w:rPr>
          <w:rFonts w:ascii="Arial" w:hAnsi="Arial" w:cs="Arial"/>
          <w:color w:val="000000" w:themeColor="text1"/>
        </w:rPr>
        <w:t>999.520</w:t>
      </w:r>
    </w:p>
    <w:p w14:paraId="0B2486F9" w14:textId="0FE48475"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 xml:space="preserve">Escenario 2: </w:t>
      </w:r>
      <w:r w:rsidR="007647F5" w:rsidRPr="0054302B">
        <w:rPr>
          <w:rFonts w:ascii="Arial" w:hAnsi="Arial" w:cs="Arial"/>
          <w:color w:val="000000" w:themeColor="text1"/>
        </w:rPr>
        <w:t>3</w:t>
      </w:r>
      <w:r w:rsidRPr="0054302B">
        <w:rPr>
          <w:rFonts w:ascii="Arial" w:hAnsi="Arial" w:cs="Arial"/>
          <w:color w:val="000000" w:themeColor="text1"/>
        </w:rPr>
        <w:t>0 ventas activas en el mes</w:t>
      </w:r>
    </w:p>
    <w:p w14:paraId="135AA499" w14:textId="08A571E1"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 xml:space="preserve">Comisión total = </w:t>
      </w:r>
      <w:r w:rsidR="007647F5" w:rsidRPr="0054302B">
        <w:rPr>
          <w:rFonts w:ascii="Arial" w:hAnsi="Arial" w:cs="Arial"/>
          <w:color w:val="000000" w:themeColor="text1"/>
        </w:rPr>
        <w:t>3</w:t>
      </w:r>
      <w:r w:rsidRPr="0054302B">
        <w:rPr>
          <w:rFonts w:ascii="Arial" w:hAnsi="Arial" w:cs="Arial"/>
          <w:color w:val="000000" w:themeColor="text1"/>
        </w:rPr>
        <w:t>0 x $49.976 = $</w:t>
      </w:r>
      <w:r w:rsidR="007647F5" w:rsidRPr="0054302B">
        <w:rPr>
          <w:rFonts w:ascii="Arial" w:hAnsi="Arial" w:cs="Arial"/>
          <w:color w:val="000000" w:themeColor="text1"/>
        </w:rPr>
        <w:t>1.499.280</w:t>
      </w:r>
    </w:p>
    <w:p w14:paraId="17694685" w14:textId="5B8E9CE5"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 xml:space="preserve">Escenario 3: </w:t>
      </w:r>
      <w:r w:rsidR="007647F5" w:rsidRPr="0054302B">
        <w:rPr>
          <w:rFonts w:ascii="Arial" w:hAnsi="Arial" w:cs="Arial"/>
          <w:color w:val="000000" w:themeColor="text1"/>
        </w:rPr>
        <w:t>35</w:t>
      </w:r>
      <w:r w:rsidRPr="0054302B">
        <w:rPr>
          <w:rFonts w:ascii="Arial" w:hAnsi="Arial" w:cs="Arial"/>
          <w:color w:val="000000" w:themeColor="text1"/>
        </w:rPr>
        <w:t xml:space="preserve"> ventas activas en el mes</w:t>
      </w:r>
    </w:p>
    <w:p w14:paraId="3CC313FD" w14:textId="3559F78A"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Comisión total = (</w:t>
      </w:r>
      <w:r w:rsidR="007647F5" w:rsidRPr="0054302B">
        <w:rPr>
          <w:rFonts w:ascii="Arial" w:hAnsi="Arial" w:cs="Arial"/>
          <w:color w:val="000000" w:themeColor="text1"/>
        </w:rPr>
        <w:t>30</w:t>
      </w:r>
      <w:r w:rsidRPr="0054302B">
        <w:rPr>
          <w:rFonts w:ascii="Arial" w:hAnsi="Arial" w:cs="Arial"/>
          <w:color w:val="000000" w:themeColor="text1"/>
        </w:rPr>
        <w:t xml:space="preserve"> x $49.976) + (5 x $59.970) = $</w:t>
      </w:r>
      <w:r w:rsidR="007647F5" w:rsidRPr="0054302B">
        <w:rPr>
          <w:rFonts w:ascii="Arial" w:hAnsi="Arial" w:cs="Arial"/>
          <w:color w:val="000000" w:themeColor="text1"/>
        </w:rPr>
        <w:t>1</w:t>
      </w:r>
      <w:r w:rsidRPr="0054302B">
        <w:rPr>
          <w:rFonts w:ascii="Arial" w:hAnsi="Arial" w:cs="Arial"/>
          <w:color w:val="000000" w:themeColor="text1"/>
        </w:rPr>
        <w:t>.49</w:t>
      </w:r>
      <w:r w:rsidR="007647F5" w:rsidRPr="0054302B">
        <w:rPr>
          <w:rFonts w:ascii="Arial" w:hAnsi="Arial" w:cs="Arial"/>
          <w:color w:val="000000" w:themeColor="text1"/>
        </w:rPr>
        <w:t>9</w:t>
      </w:r>
      <w:r w:rsidRPr="0054302B">
        <w:rPr>
          <w:rFonts w:ascii="Arial" w:hAnsi="Arial" w:cs="Arial"/>
          <w:color w:val="000000" w:themeColor="text1"/>
        </w:rPr>
        <w:t>.</w:t>
      </w:r>
      <w:r w:rsidR="007647F5" w:rsidRPr="0054302B">
        <w:rPr>
          <w:rFonts w:ascii="Arial" w:hAnsi="Arial" w:cs="Arial"/>
          <w:color w:val="000000" w:themeColor="text1"/>
        </w:rPr>
        <w:t>28</w:t>
      </w:r>
      <w:r w:rsidRPr="0054302B">
        <w:rPr>
          <w:rFonts w:ascii="Arial" w:hAnsi="Arial" w:cs="Arial"/>
          <w:color w:val="000000" w:themeColor="text1"/>
        </w:rPr>
        <w:t>0 + $299.850 = $</w:t>
      </w:r>
      <w:r w:rsidR="007647F5" w:rsidRPr="0054302B">
        <w:rPr>
          <w:rFonts w:ascii="Arial" w:hAnsi="Arial" w:cs="Arial"/>
          <w:color w:val="000000" w:themeColor="text1"/>
        </w:rPr>
        <w:t>1.799.130</w:t>
      </w:r>
    </w:p>
    <w:p w14:paraId="22E2A92E"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br w:type="page"/>
      </w:r>
    </w:p>
    <w:p w14:paraId="0B686EFD" w14:textId="77777777" w:rsidR="0054302B" w:rsidRDefault="0054302B" w:rsidP="0054302B">
      <w:pPr>
        <w:pStyle w:val="Ttulo1"/>
        <w:spacing w:line="360" w:lineRule="auto"/>
        <w:jc w:val="both"/>
        <w:rPr>
          <w:rFonts w:ascii="Arial" w:hAnsi="Arial" w:cs="Arial"/>
          <w:color w:val="000000" w:themeColor="text1"/>
          <w:sz w:val="32"/>
          <w:szCs w:val="32"/>
        </w:rPr>
      </w:pPr>
    </w:p>
    <w:p w14:paraId="6C80FC23" w14:textId="6F89900E" w:rsidR="00843C46" w:rsidRPr="0054302B" w:rsidRDefault="00843C46" w:rsidP="0054302B">
      <w:pPr>
        <w:pStyle w:val="Ttulo1"/>
        <w:spacing w:line="360" w:lineRule="auto"/>
        <w:jc w:val="both"/>
        <w:rPr>
          <w:rFonts w:ascii="Arial" w:hAnsi="Arial" w:cs="Arial"/>
          <w:color w:val="000000" w:themeColor="text1"/>
          <w:sz w:val="32"/>
          <w:szCs w:val="32"/>
        </w:rPr>
      </w:pPr>
      <w:r w:rsidRPr="0054302B">
        <w:rPr>
          <w:rFonts w:ascii="Arial" w:hAnsi="Arial" w:cs="Arial"/>
          <w:color w:val="000000" w:themeColor="text1"/>
          <w:sz w:val="32"/>
          <w:szCs w:val="32"/>
        </w:rPr>
        <w:t>CAPÍTULO XIX. AMPLIACIÓN DEL ESQUEMA DE COMISIONES Y REDES (VERSIÓN 1.1)</w:t>
      </w:r>
    </w:p>
    <w:p w14:paraId="2B55ADEC" w14:textId="19ACA91B"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 xml:space="preserve">Este capítulo amplía el esquema comisional aprobado, incorporando comisiones para Dirección Comercial, equipo de marketing, redes de </w:t>
      </w:r>
      <w:r w:rsidR="00FB7F77" w:rsidRPr="0054302B">
        <w:rPr>
          <w:rFonts w:ascii="Arial" w:hAnsi="Arial" w:cs="Arial"/>
          <w:color w:val="000000" w:themeColor="text1"/>
        </w:rPr>
        <w:t>referidos,</w:t>
      </w:r>
      <w:r w:rsidRPr="0054302B">
        <w:rPr>
          <w:rFonts w:ascii="Arial" w:hAnsi="Arial" w:cs="Arial"/>
          <w:color w:val="000000" w:themeColor="text1"/>
        </w:rPr>
        <w:t xml:space="preserve"> bajo el modelo de reconocimiento económico por gestión de servicios.</w:t>
      </w:r>
    </w:p>
    <w:p w14:paraId="7E8BB2C6" w14:textId="77777777" w:rsidR="00AF1C8B" w:rsidRPr="0054302B" w:rsidRDefault="00AF1C8B" w:rsidP="0054302B">
      <w:pPr>
        <w:pStyle w:val="Ttulo2"/>
        <w:spacing w:line="360" w:lineRule="auto"/>
        <w:jc w:val="both"/>
        <w:rPr>
          <w:rFonts w:ascii="Arial" w:hAnsi="Arial" w:cs="Arial"/>
          <w:color w:val="000000" w:themeColor="text1"/>
          <w:highlight w:val="yellow"/>
        </w:rPr>
      </w:pPr>
    </w:p>
    <w:p w14:paraId="10FDFD18" w14:textId="4FA91288" w:rsidR="00843C46" w:rsidRPr="0054302B" w:rsidRDefault="00843C46" w:rsidP="0054302B">
      <w:pPr>
        <w:pStyle w:val="Ttulo2"/>
        <w:spacing w:line="360" w:lineRule="auto"/>
        <w:jc w:val="both"/>
        <w:rPr>
          <w:rFonts w:ascii="Arial" w:hAnsi="Arial" w:cs="Arial"/>
          <w:color w:val="000000" w:themeColor="text1"/>
        </w:rPr>
      </w:pPr>
      <w:r w:rsidRPr="0054302B">
        <w:rPr>
          <w:rFonts w:ascii="Arial" w:hAnsi="Arial" w:cs="Arial"/>
          <w:color w:val="000000" w:themeColor="text1"/>
        </w:rPr>
        <w:t>19.1 Comisión Director Comercial</w:t>
      </w:r>
      <w:r w:rsidR="00FB7F77" w:rsidRPr="0054302B">
        <w:rPr>
          <w:rFonts w:ascii="Arial" w:hAnsi="Arial" w:cs="Arial"/>
          <w:color w:val="000000" w:themeColor="text1"/>
        </w:rPr>
        <w:t xml:space="preserve"> y Gerente</w:t>
      </w:r>
      <w:r w:rsidRPr="0054302B">
        <w:rPr>
          <w:rFonts w:ascii="Arial" w:hAnsi="Arial" w:cs="Arial"/>
          <w:color w:val="000000" w:themeColor="text1"/>
        </w:rPr>
        <w:t xml:space="preserve"> – Ventas </w:t>
      </w:r>
      <w:r w:rsidR="00FB7F77" w:rsidRPr="0054302B">
        <w:rPr>
          <w:rFonts w:ascii="Arial" w:hAnsi="Arial" w:cs="Arial"/>
          <w:color w:val="000000" w:themeColor="text1"/>
        </w:rPr>
        <w:t>total</w:t>
      </w:r>
    </w:p>
    <w:p w14:paraId="7AE34AB2" w14:textId="2ED50EF6"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 xml:space="preserve">El </w:t>
      </w:r>
      <w:r w:rsidR="00FB7F77" w:rsidRPr="0054302B">
        <w:rPr>
          <w:rFonts w:ascii="Arial" w:hAnsi="Arial" w:cs="Arial"/>
          <w:color w:val="000000" w:themeColor="text1"/>
        </w:rPr>
        <w:t>director</w:t>
      </w:r>
      <w:r w:rsidRPr="0054302B">
        <w:rPr>
          <w:rFonts w:ascii="Arial" w:hAnsi="Arial" w:cs="Arial"/>
          <w:color w:val="000000" w:themeColor="text1"/>
        </w:rPr>
        <w:t xml:space="preserve"> Comercial</w:t>
      </w:r>
      <w:r w:rsidR="00FB7F77" w:rsidRPr="0054302B">
        <w:rPr>
          <w:rFonts w:ascii="Arial" w:hAnsi="Arial" w:cs="Arial"/>
          <w:color w:val="000000" w:themeColor="text1"/>
        </w:rPr>
        <w:t xml:space="preserve"> y gerente recibirá</w:t>
      </w:r>
      <w:r w:rsidRPr="0054302B">
        <w:rPr>
          <w:rFonts w:ascii="Arial" w:hAnsi="Arial" w:cs="Arial"/>
          <w:color w:val="000000" w:themeColor="text1"/>
        </w:rPr>
        <w:t xml:space="preserve"> una comisión sobre el total de las ventas </w:t>
      </w:r>
      <w:r w:rsidR="00FB7F77" w:rsidRPr="0054302B">
        <w:rPr>
          <w:rFonts w:ascii="Arial" w:hAnsi="Arial" w:cs="Arial"/>
          <w:color w:val="000000" w:themeColor="text1"/>
        </w:rPr>
        <w:t>activas de</w:t>
      </w:r>
      <w:r w:rsidRPr="0054302B">
        <w:rPr>
          <w:rFonts w:ascii="Arial" w:hAnsi="Arial" w:cs="Arial"/>
          <w:color w:val="000000" w:themeColor="text1"/>
        </w:rPr>
        <w:t xml:space="preserve"> MIA PASS.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2842"/>
        <w:gridCol w:w="2843"/>
      </w:tblGrid>
      <w:tr w:rsidR="0054302B" w:rsidRPr="0054302B" w14:paraId="2A14972F" w14:textId="77777777" w:rsidTr="00FB7F77">
        <w:trPr>
          <w:trHeight w:val="197"/>
        </w:trPr>
        <w:tc>
          <w:tcPr>
            <w:tcW w:w="2842" w:type="dxa"/>
          </w:tcPr>
          <w:p w14:paraId="7CB58BB7" w14:textId="77777777" w:rsidR="00FB7F77" w:rsidRPr="0054302B" w:rsidRDefault="00FB7F77"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Concepto</w:t>
            </w:r>
          </w:p>
        </w:tc>
        <w:tc>
          <w:tcPr>
            <w:tcW w:w="2842" w:type="dxa"/>
          </w:tcPr>
          <w:p w14:paraId="5BBDF1D3" w14:textId="77777777" w:rsidR="00FB7F77" w:rsidRPr="0054302B" w:rsidRDefault="00FB7F77"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Condición</w:t>
            </w:r>
          </w:p>
        </w:tc>
        <w:tc>
          <w:tcPr>
            <w:tcW w:w="2843" w:type="dxa"/>
          </w:tcPr>
          <w:p w14:paraId="20F31FB8" w14:textId="5D6F7A75" w:rsidR="00FB7F77" w:rsidRPr="0054302B" w:rsidRDefault="00FB7F77"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Comisión</w:t>
            </w:r>
          </w:p>
        </w:tc>
      </w:tr>
      <w:tr w:rsidR="0054302B" w:rsidRPr="0054302B" w14:paraId="0BD9CBA7" w14:textId="77777777" w:rsidTr="00FB7F77">
        <w:trPr>
          <w:trHeight w:val="587"/>
        </w:trPr>
        <w:tc>
          <w:tcPr>
            <w:tcW w:w="2842" w:type="dxa"/>
          </w:tcPr>
          <w:p w14:paraId="72F8A888" w14:textId="26195160" w:rsidR="00FB7F77" w:rsidRPr="0054302B" w:rsidRDefault="00FB7F77" w:rsidP="0054302B">
            <w:pPr>
              <w:spacing w:line="360" w:lineRule="auto"/>
              <w:jc w:val="both"/>
              <w:rPr>
                <w:rFonts w:ascii="Arial" w:hAnsi="Arial" w:cs="Arial"/>
                <w:color w:val="000000" w:themeColor="text1"/>
              </w:rPr>
            </w:pPr>
            <w:r w:rsidRPr="0054302B">
              <w:rPr>
                <w:rFonts w:ascii="Arial" w:hAnsi="Arial" w:cs="Arial"/>
                <w:color w:val="000000" w:themeColor="text1"/>
              </w:rPr>
              <w:t>Venta Orgánica</w:t>
            </w:r>
            <w:r w:rsidR="0054302B">
              <w:rPr>
                <w:rFonts w:ascii="Arial" w:hAnsi="Arial" w:cs="Arial"/>
                <w:color w:val="000000" w:themeColor="text1"/>
              </w:rPr>
              <w:t xml:space="preserve"> </w:t>
            </w:r>
            <w:proofErr w:type="gramStart"/>
            <w:r w:rsidR="0054302B">
              <w:rPr>
                <w:rFonts w:ascii="Arial" w:hAnsi="Arial" w:cs="Arial"/>
                <w:color w:val="000000" w:themeColor="text1"/>
              </w:rPr>
              <w:t>Director</w:t>
            </w:r>
            <w:proofErr w:type="gramEnd"/>
          </w:p>
        </w:tc>
        <w:tc>
          <w:tcPr>
            <w:tcW w:w="2842" w:type="dxa"/>
          </w:tcPr>
          <w:p w14:paraId="48666E07" w14:textId="3350BE01" w:rsidR="00FB7F77" w:rsidRPr="0054302B" w:rsidRDefault="00FB7F77" w:rsidP="0054302B">
            <w:pPr>
              <w:spacing w:line="360" w:lineRule="auto"/>
              <w:jc w:val="both"/>
              <w:rPr>
                <w:rFonts w:ascii="Arial" w:hAnsi="Arial" w:cs="Arial"/>
                <w:color w:val="000000" w:themeColor="text1"/>
              </w:rPr>
            </w:pPr>
            <w:r w:rsidRPr="0054302B">
              <w:rPr>
                <w:rFonts w:ascii="Arial" w:hAnsi="Arial" w:cs="Arial"/>
                <w:color w:val="000000" w:themeColor="text1"/>
              </w:rPr>
              <w:t xml:space="preserve">membresías activas </w:t>
            </w:r>
          </w:p>
        </w:tc>
        <w:tc>
          <w:tcPr>
            <w:tcW w:w="2843" w:type="dxa"/>
          </w:tcPr>
          <w:p w14:paraId="1C97EFDE" w14:textId="1C92BF1F" w:rsidR="00FB7F77" w:rsidRPr="0054302B" w:rsidRDefault="0054302B" w:rsidP="0054302B">
            <w:pPr>
              <w:spacing w:line="360" w:lineRule="auto"/>
              <w:jc w:val="both"/>
              <w:rPr>
                <w:rFonts w:ascii="Arial" w:hAnsi="Arial" w:cs="Arial"/>
                <w:color w:val="000000" w:themeColor="text1"/>
              </w:rPr>
            </w:pPr>
            <w:r>
              <w:rPr>
                <w:rFonts w:ascii="Arial" w:hAnsi="Arial" w:cs="Arial"/>
                <w:color w:val="000000" w:themeColor="text1"/>
              </w:rPr>
              <w:t>6</w:t>
            </w:r>
            <w:r w:rsidR="00FB7F77" w:rsidRPr="0054302B">
              <w:rPr>
                <w:rFonts w:ascii="Arial" w:hAnsi="Arial" w:cs="Arial"/>
                <w:color w:val="000000" w:themeColor="text1"/>
              </w:rPr>
              <w:t>%</w:t>
            </w:r>
          </w:p>
        </w:tc>
      </w:tr>
    </w:tbl>
    <w:p w14:paraId="3D667B64" w14:textId="77777777" w:rsidR="00843C46" w:rsidRPr="0054302B" w:rsidRDefault="00843C46" w:rsidP="0054302B">
      <w:pPr>
        <w:pStyle w:val="Ttulo2"/>
        <w:spacing w:line="360" w:lineRule="auto"/>
        <w:jc w:val="both"/>
        <w:rPr>
          <w:rFonts w:ascii="Arial" w:hAnsi="Arial" w:cs="Arial"/>
          <w:color w:val="000000" w:themeColor="text1"/>
        </w:rPr>
      </w:pPr>
      <w:r w:rsidRPr="0054302B">
        <w:rPr>
          <w:rFonts w:ascii="Arial" w:hAnsi="Arial" w:cs="Arial"/>
          <w:color w:val="000000" w:themeColor="text1"/>
        </w:rPr>
        <w:t>19.2 Esquema de referidos – Dos niveles</w:t>
      </w:r>
    </w:p>
    <w:p w14:paraId="1F988E3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Se habilita un esquema de referidos de hasta dos niveles, liquidado exclusivamente sobre membresías activas.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4302B" w:rsidRPr="0054302B" w14:paraId="2E531F74" w14:textId="77777777" w:rsidTr="007647F5">
        <w:tc>
          <w:tcPr>
            <w:tcW w:w="2880" w:type="dxa"/>
          </w:tcPr>
          <w:p w14:paraId="3A9564A5"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Nivel</w:t>
            </w:r>
          </w:p>
        </w:tc>
        <w:tc>
          <w:tcPr>
            <w:tcW w:w="2880" w:type="dxa"/>
          </w:tcPr>
          <w:p w14:paraId="1042E769"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Beneficiario</w:t>
            </w:r>
          </w:p>
        </w:tc>
        <w:tc>
          <w:tcPr>
            <w:tcW w:w="2880" w:type="dxa"/>
          </w:tcPr>
          <w:p w14:paraId="71B455F9"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Valor por venta</w:t>
            </w:r>
          </w:p>
        </w:tc>
      </w:tr>
      <w:tr w:rsidR="0054302B" w:rsidRPr="0054302B" w14:paraId="022E6A02" w14:textId="77777777" w:rsidTr="007647F5">
        <w:tc>
          <w:tcPr>
            <w:tcW w:w="2880" w:type="dxa"/>
          </w:tcPr>
          <w:p w14:paraId="45EA717E"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Nivel 1</w:t>
            </w:r>
          </w:p>
        </w:tc>
        <w:tc>
          <w:tcPr>
            <w:tcW w:w="2880" w:type="dxa"/>
          </w:tcPr>
          <w:p w14:paraId="4E10CC22"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Referidor directo / Vendedor</w:t>
            </w:r>
          </w:p>
        </w:tc>
        <w:tc>
          <w:tcPr>
            <w:tcW w:w="2880" w:type="dxa"/>
          </w:tcPr>
          <w:p w14:paraId="75741AA0"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$5.000</w:t>
            </w:r>
          </w:p>
        </w:tc>
      </w:tr>
      <w:tr w:rsidR="0054302B" w:rsidRPr="0054302B" w14:paraId="6048EF22" w14:textId="77777777" w:rsidTr="007647F5">
        <w:tc>
          <w:tcPr>
            <w:tcW w:w="2880" w:type="dxa"/>
          </w:tcPr>
          <w:p w14:paraId="49A58832"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Nivel 2</w:t>
            </w:r>
          </w:p>
        </w:tc>
        <w:tc>
          <w:tcPr>
            <w:tcW w:w="2880" w:type="dxa"/>
          </w:tcPr>
          <w:p w14:paraId="6E66CC37" w14:textId="31C27F33"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Director Comercial</w:t>
            </w:r>
            <w:r w:rsidR="00FB7F77" w:rsidRPr="0054302B">
              <w:rPr>
                <w:rFonts w:ascii="Arial" w:hAnsi="Arial" w:cs="Arial"/>
                <w:color w:val="000000" w:themeColor="text1"/>
              </w:rPr>
              <w:t>/ Vendedor</w:t>
            </w:r>
          </w:p>
        </w:tc>
        <w:tc>
          <w:tcPr>
            <w:tcW w:w="2880" w:type="dxa"/>
          </w:tcPr>
          <w:p w14:paraId="78B559F4"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$2.000</w:t>
            </w:r>
          </w:p>
        </w:tc>
      </w:tr>
    </w:tbl>
    <w:p w14:paraId="1DAB298A" w14:textId="77777777" w:rsidR="0054302B" w:rsidRDefault="0054302B" w:rsidP="0054302B">
      <w:pPr>
        <w:pStyle w:val="Ttulo2"/>
        <w:spacing w:line="360" w:lineRule="auto"/>
        <w:jc w:val="both"/>
        <w:rPr>
          <w:rFonts w:ascii="Arial" w:hAnsi="Arial" w:cs="Arial"/>
          <w:color w:val="000000" w:themeColor="text1"/>
        </w:rPr>
      </w:pPr>
    </w:p>
    <w:p w14:paraId="2C3B4A5C" w14:textId="77777777" w:rsidR="0054302B" w:rsidRDefault="0054302B" w:rsidP="0054302B">
      <w:pPr>
        <w:pStyle w:val="Ttulo2"/>
        <w:spacing w:line="360" w:lineRule="auto"/>
        <w:jc w:val="both"/>
        <w:rPr>
          <w:rFonts w:ascii="Arial" w:hAnsi="Arial" w:cs="Arial"/>
          <w:color w:val="000000" w:themeColor="text1"/>
        </w:rPr>
      </w:pPr>
    </w:p>
    <w:p w14:paraId="4B4ABFE5" w14:textId="4A655359" w:rsidR="00843C46" w:rsidRPr="0054302B" w:rsidRDefault="00843C46" w:rsidP="0054302B">
      <w:pPr>
        <w:pStyle w:val="Ttulo2"/>
        <w:spacing w:line="360" w:lineRule="auto"/>
        <w:jc w:val="both"/>
        <w:rPr>
          <w:rFonts w:ascii="Arial" w:hAnsi="Arial" w:cs="Arial"/>
          <w:color w:val="000000" w:themeColor="text1"/>
        </w:rPr>
      </w:pPr>
      <w:r w:rsidRPr="0054302B">
        <w:rPr>
          <w:rFonts w:ascii="Arial" w:hAnsi="Arial" w:cs="Arial"/>
          <w:color w:val="000000" w:themeColor="text1"/>
        </w:rPr>
        <w:t>19.</w:t>
      </w:r>
      <w:r w:rsidR="00FB7F77" w:rsidRPr="0054302B">
        <w:rPr>
          <w:rFonts w:ascii="Arial" w:hAnsi="Arial" w:cs="Arial"/>
          <w:color w:val="000000" w:themeColor="text1"/>
        </w:rPr>
        <w:t>3</w:t>
      </w:r>
      <w:r w:rsidRPr="0054302B">
        <w:rPr>
          <w:rFonts w:ascii="Arial" w:hAnsi="Arial" w:cs="Arial"/>
          <w:color w:val="000000" w:themeColor="text1"/>
        </w:rPr>
        <w:t xml:space="preserve"> Ajuste de metas y escalera comisional – Vendedores</w:t>
      </w:r>
    </w:p>
    <w:p w14:paraId="0DB081A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Se ajusta el presupuesto mensual de los vendedores comerciales a treinta (30) membresías activas.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4302B" w:rsidRPr="0054302B" w14:paraId="15F2AB6C" w14:textId="77777777" w:rsidTr="007647F5">
        <w:tc>
          <w:tcPr>
            <w:tcW w:w="2880" w:type="dxa"/>
          </w:tcPr>
          <w:p w14:paraId="476B4FEB"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Tramo</w:t>
            </w:r>
          </w:p>
        </w:tc>
        <w:tc>
          <w:tcPr>
            <w:tcW w:w="2880" w:type="dxa"/>
          </w:tcPr>
          <w:p w14:paraId="7AE5B931"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Ventas</w:t>
            </w:r>
          </w:p>
        </w:tc>
        <w:tc>
          <w:tcPr>
            <w:tcW w:w="2880" w:type="dxa"/>
          </w:tcPr>
          <w:p w14:paraId="59FE904C" w14:textId="77777777" w:rsidR="00843C46" w:rsidRPr="0054302B" w:rsidRDefault="00843C46" w:rsidP="0054302B">
            <w:pPr>
              <w:spacing w:line="360" w:lineRule="auto"/>
              <w:jc w:val="both"/>
              <w:rPr>
                <w:rFonts w:ascii="Arial" w:hAnsi="Arial" w:cs="Arial"/>
                <w:b/>
                <w:bCs/>
                <w:color w:val="000000" w:themeColor="text1"/>
              </w:rPr>
            </w:pPr>
            <w:r w:rsidRPr="0054302B">
              <w:rPr>
                <w:rFonts w:ascii="Arial" w:hAnsi="Arial" w:cs="Arial"/>
                <w:b/>
                <w:bCs/>
                <w:color w:val="000000" w:themeColor="text1"/>
              </w:rPr>
              <w:t>Comisión</w:t>
            </w:r>
          </w:p>
        </w:tc>
      </w:tr>
      <w:tr w:rsidR="0054302B" w:rsidRPr="0054302B" w14:paraId="2D73922F" w14:textId="77777777" w:rsidTr="007647F5">
        <w:tc>
          <w:tcPr>
            <w:tcW w:w="2880" w:type="dxa"/>
          </w:tcPr>
          <w:p w14:paraId="19A712B9"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Base</w:t>
            </w:r>
          </w:p>
        </w:tc>
        <w:tc>
          <w:tcPr>
            <w:tcW w:w="2880" w:type="dxa"/>
          </w:tcPr>
          <w:p w14:paraId="3985F76F"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1 a 30</w:t>
            </w:r>
          </w:p>
        </w:tc>
        <w:tc>
          <w:tcPr>
            <w:tcW w:w="2880" w:type="dxa"/>
          </w:tcPr>
          <w:p w14:paraId="637227F3"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$49.976 (25%)</w:t>
            </w:r>
          </w:p>
        </w:tc>
      </w:tr>
      <w:tr w:rsidR="0054302B" w:rsidRPr="0054302B" w14:paraId="0E10D0E2" w14:textId="77777777" w:rsidTr="007647F5">
        <w:tc>
          <w:tcPr>
            <w:tcW w:w="2880" w:type="dxa"/>
          </w:tcPr>
          <w:p w14:paraId="45BBE70C"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Incentivo</w:t>
            </w:r>
          </w:p>
        </w:tc>
        <w:tc>
          <w:tcPr>
            <w:tcW w:w="2880" w:type="dxa"/>
          </w:tcPr>
          <w:p w14:paraId="549B8642"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31 en adelante</w:t>
            </w:r>
          </w:p>
        </w:tc>
        <w:tc>
          <w:tcPr>
            <w:tcW w:w="2880" w:type="dxa"/>
          </w:tcPr>
          <w:p w14:paraId="6D7A7614" w14:textId="77777777"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$59.970 (30%)</w:t>
            </w:r>
          </w:p>
        </w:tc>
      </w:tr>
    </w:tbl>
    <w:p w14:paraId="3755E4D3" w14:textId="77777777" w:rsidR="00FE501D" w:rsidRPr="0054302B" w:rsidRDefault="00FE501D" w:rsidP="0054302B">
      <w:pPr>
        <w:pStyle w:val="Ttulo2"/>
        <w:spacing w:line="360" w:lineRule="auto"/>
        <w:jc w:val="both"/>
        <w:rPr>
          <w:rFonts w:ascii="Arial" w:hAnsi="Arial" w:cs="Arial"/>
          <w:color w:val="000000" w:themeColor="text1"/>
          <w:highlight w:val="yellow"/>
        </w:rPr>
      </w:pPr>
    </w:p>
    <w:p w14:paraId="362A2C11" w14:textId="39341B71" w:rsidR="00843C46" w:rsidRPr="0054302B" w:rsidRDefault="00843C46" w:rsidP="0054302B">
      <w:pPr>
        <w:pStyle w:val="Ttulo2"/>
        <w:spacing w:line="360" w:lineRule="auto"/>
        <w:jc w:val="both"/>
        <w:rPr>
          <w:rFonts w:ascii="Arial" w:hAnsi="Arial" w:cs="Arial"/>
          <w:color w:val="000000" w:themeColor="text1"/>
        </w:rPr>
      </w:pPr>
      <w:r w:rsidRPr="0054302B">
        <w:rPr>
          <w:rFonts w:ascii="Arial" w:hAnsi="Arial" w:cs="Arial"/>
          <w:color w:val="000000" w:themeColor="text1"/>
        </w:rPr>
        <w:t>19.</w:t>
      </w:r>
      <w:r w:rsidR="00EE57A5" w:rsidRPr="0054302B">
        <w:rPr>
          <w:rFonts w:ascii="Arial" w:hAnsi="Arial" w:cs="Arial"/>
          <w:color w:val="000000" w:themeColor="text1"/>
        </w:rPr>
        <w:t>4</w:t>
      </w:r>
      <w:r w:rsidRPr="0054302B">
        <w:rPr>
          <w:rFonts w:ascii="Arial" w:hAnsi="Arial" w:cs="Arial"/>
          <w:color w:val="000000" w:themeColor="text1"/>
        </w:rPr>
        <w:t xml:space="preserve"> Comisión </w:t>
      </w:r>
      <w:r w:rsidR="00EE57A5" w:rsidRPr="0054302B">
        <w:rPr>
          <w:rFonts w:ascii="Arial" w:hAnsi="Arial" w:cs="Arial"/>
          <w:color w:val="000000" w:themeColor="text1"/>
        </w:rPr>
        <w:t>director comercial y community manager</w:t>
      </w:r>
      <w:r w:rsidRPr="0054302B">
        <w:rPr>
          <w:rFonts w:ascii="Arial" w:hAnsi="Arial" w:cs="Arial"/>
          <w:color w:val="000000" w:themeColor="text1"/>
        </w:rPr>
        <w:t xml:space="preserve"> – Ventas </w:t>
      </w:r>
      <w:r w:rsidR="00EE57A5" w:rsidRPr="0054302B">
        <w:rPr>
          <w:rFonts w:ascii="Arial" w:hAnsi="Arial" w:cs="Arial"/>
          <w:color w:val="000000" w:themeColor="text1"/>
        </w:rPr>
        <w:t xml:space="preserve">total </w:t>
      </w:r>
      <w:r w:rsidRPr="0054302B">
        <w:rPr>
          <w:rFonts w:ascii="Arial" w:hAnsi="Arial" w:cs="Arial"/>
          <w:color w:val="000000" w:themeColor="text1"/>
        </w:rPr>
        <w:t>por redes sociales</w:t>
      </w:r>
      <w:r w:rsidR="00EE57A5" w:rsidRPr="0054302B">
        <w:rPr>
          <w:rFonts w:ascii="Arial" w:hAnsi="Arial" w:cs="Arial"/>
          <w:color w:val="000000" w:themeColor="text1"/>
        </w:rPr>
        <w:t>.</w:t>
      </w:r>
    </w:p>
    <w:p w14:paraId="0AE96A56" w14:textId="22E04462" w:rsidR="00843C46" w:rsidRPr="0054302B" w:rsidRDefault="00843C46" w:rsidP="0054302B">
      <w:pPr>
        <w:spacing w:line="360" w:lineRule="auto"/>
        <w:jc w:val="both"/>
        <w:rPr>
          <w:rFonts w:ascii="Arial" w:hAnsi="Arial" w:cs="Arial"/>
          <w:color w:val="000000" w:themeColor="text1"/>
        </w:rPr>
      </w:pPr>
      <w:r w:rsidRPr="0054302B">
        <w:rPr>
          <w:rFonts w:ascii="Arial" w:hAnsi="Arial" w:cs="Arial"/>
          <w:color w:val="000000" w:themeColor="text1"/>
        </w:rPr>
        <w:t>Las ventas atribuidas a redes sociales reconocerán una comisión para cada uno de los siguientes roles:</w:t>
      </w:r>
    </w:p>
    <w:p w14:paraId="37A116C5" w14:textId="2942651B" w:rsidR="00843C46" w:rsidRPr="0054302B" w:rsidRDefault="00843C46"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 xml:space="preserve">Director </w:t>
      </w:r>
      <w:r w:rsidR="00EE57A5" w:rsidRPr="0054302B">
        <w:rPr>
          <w:rFonts w:ascii="Arial" w:hAnsi="Arial" w:cs="Arial"/>
          <w:color w:val="000000" w:themeColor="text1"/>
        </w:rPr>
        <w:t>Comercial 10%</w:t>
      </w:r>
    </w:p>
    <w:p w14:paraId="62ED3BFB" w14:textId="3FA16AFB" w:rsidR="00EE57A5" w:rsidRPr="0054302B" w:rsidRDefault="00EE57A5" w:rsidP="0054302B">
      <w:pPr>
        <w:pStyle w:val="Listaconvietas"/>
        <w:tabs>
          <w:tab w:val="num" w:pos="360"/>
        </w:tabs>
        <w:spacing w:line="360" w:lineRule="auto"/>
        <w:ind w:left="360" w:hanging="360"/>
        <w:jc w:val="both"/>
        <w:rPr>
          <w:rFonts w:ascii="Arial" w:hAnsi="Arial" w:cs="Arial"/>
          <w:color w:val="000000" w:themeColor="text1"/>
        </w:rPr>
      </w:pPr>
      <w:r w:rsidRPr="0054302B">
        <w:rPr>
          <w:rFonts w:ascii="Arial" w:hAnsi="Arial" w:cs="Arial"/>
          <w:color w:val="000000" w:themeColor="text1"/>
        </w:rPr>
        <w:t>Community Manager</w:t>
      </w:r>
      <w:r w:rsidR="0054302B">
        <w:rPr>
          <w:rFonts w:ascii="Arial" w:hAnsi="Arial" w:cs="Arial"/>
          <w:color w:val="000000" w:themeColor="text1"/>
        </w:rPr>
        <w:t xml:space="preserve"> 5%</w:t>
      </w:r>
    </w:p>
    <w:p w14:paraId="4B99283C" w14:textId="77777777" w:rsidR="007B26B0" w:rsidRPr="0054302B" w:rsidRDefault="007B26B0" w:rsidP="0054302B">
      <w:pPr>
        <w:pStyle w:val="Listaconvietas"/>
        <w:numPr>
          <w:ilvl w:val="0"/>
          <w:numId w:val="0"/>
        </w:numPr>
        <w:spacing w:line="360" w:lineRule="auto"/>
        <w:ind w:left="360"/>
        <w:jc w:val="both"/>
        <w:rPr>
          <w:rFonts w:ascii="Arial" w:hAnsi="Arial" w:cs="Arial"/>
          <w:color w:val="000000" w:themeColor="text1"/>
        </w:rPr>
      </w:pPr>
    </w:p>
    <w:p w14:paraId="5E673FD8" w14:textId="77777777" w:rsidR="007A4102" w:rsidRPr="0054302B" w:rsidRDefault="007A4102" w:rsidP="0054302B">
      <w:pPr>
        <w:spacing w:before="100" w:beforeAutospacing="1" w:after="100" w:afterAutospacing="1" w:line="360" w:lineRule="auto"/>
        <w:jc w:val="both"/>
        <w:outlineLvl w:val="0"/>
        <w:rPr>
          <w:rFonts w:ascii="Arial" w:eastAsia="Times New Roman" w:hAnsi="Arial" w:cs="Arial"/>
          <w:b/>
          <w:bCs/>
          <w:color w:val="000000" w:themeColor="text1"/>
          <w:kern w:val="36"/>
          <w:sz w:val="24"/>
          <w:szCs w:val="24"/>
          <w:lang w:eastAsia="es-CO"/>
          <w14:ligatures w14:val="none"/>
        </w:rPr>
      </w:pPr>
    </w:p>
    <w:p w14:paraId="31DB4DD9" w14:textId="5AECDA4B" w:rsidR="00AF1C8B" w:rsidRPr="0054302B" w:rsidRDefault="00AF1C8B" w:rsidP="0054302B">
      <w:pPr>
        <w:spacing w:before="100" w:beforeAutospacing="1" w:after="100" w:afterAutospacing="1" w:line="360" w:lineRule="auto"/>
        <w:jc w:val="both"/>
        <w:outlineLvl w:val="0"/>
        <w:rPr>
          <w:rFonts w:ascii="Arial" w:eastAsia="Times New Roman" w:hAnsi="Arial" w:cs="Arial"/>
          <w:b/>
          <w:bCs/>
          <w:color w:val="000000" w:themeColor="text1"/>
          <w:kern w:val="36"/>
          <w:sz w:val="24"/>
          <w:szCs w:val="24"/>
          <w:lang w:eastAsia="es-CO"/>
          <w14:ligatures w14:val="none"/>
        </w:rPr>
      </w:pPr>
    </w:p>
    <w:sectPr w:rsidR="00AF1C8B" w:rsidRPr="0054302B">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FEEAC" w14:textId="77777777" w:rsidR="00C43E80" w:rsidRDefault="00C43E80" w:rsidP="005B548A">
      <w:pPr>
        <w:spacing w:after="0" w:line="240" w:lineRule="auto"/>
      </w:pPr>
      <w:r>
        <w:separator/>
      </w:r>
    </w:p>
  </w:endnote>
  <w:endnote w:type="continuationSeparator" w:id="0">
    <w:p w14:paraId="32F198F9" w14:textId="77777777" w:rsidR="00C43E80" w:rsidRDefault="00C43E80" w:rsidP="005B5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0177" w14:textId="77777777" w:rsidR="00C43E80" w:rsidRDefault="00C43E80" w:rsidP="005B548A">
      <w:pPr>
        <w:spacing w:after="0" w:line="240" w:lineRule="auto"/>
      </w:pPr>
      <w:r>
        <w:separator/>
      </w:r>
    </w:p>
  </w:footnote>
  <w:footnote w:type="continuationSeparator" w:id="0">
    <w:p w14:paraId="6114397D" w14:textId="77777777" w:rsidR="00C43E80" w:rsidRDefault="00C43E80" w:rsidP="005B5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27FA" w14:textId="415F862E" w:rsidR="005B548A" w:rsidRDefault="00D457AB">
    <w:pPr>
      <w:pStyle w:val="Encabezado"/>
    </w:pPr>
    <w:r>
      <w:rPr>
        <w:noProof/>
      </w:rPr>
      <w:drawing>
        <wp:anchor distT="0" distB="0" distL="114300" distR="114300" simplePos="0" relativeHeight="251668480" behindDoc="1" locked="0" layoutInCell="1" allowOverlap="1" wp14:anchorId="03855DD7" wp14:editId="4E9502AA">
          <wp:simplePos x="0" y="0"/>
          <wp:positionH relativeFrom="page">
            <wp:align>right</wp:align>
          </wp:positionH>
          <wp:positionV relativeFrom="paragraph">
            <wp:posOffset>-449580</wp:posOffset>
          </wp:positionV>
          <wp:extent cx="7765319" cy="10047981"/>
          <wp:effectExtent l="0" t="0" r="7620" b="0"/>
          <wp:wrapNone/>
          <wp:docPr id="15545841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84187" name="Imagen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5319" cy="1004798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E02FC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425E6018"/>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8A95C56"/>
    <w:multiLevelType w:val="hybridMultilevel"/>
    <w:tmpl w:val="775441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90616F"/>
    <w:multiLevelType w:val="hybridMultilevel"/>
    <w:tmpl w:val="4A96C5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D16EF3"/>
    <w:multiLevelType w:val="multilevel"/>
    <w:tmpl w:val="5F0C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C5E58"/>
    <w:multiLevelType w:val="multilevel"/>
    <w:tmpl w:val="31D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95450"/>
    <w:multiLevelType w:val="hybridMultilevel"/>
    <w:tmpl w:val="22244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DA37DE6"/>
    <w:multiLevelType w:val="multilevel"/>
    <w:tmpl w:val="8516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41982"/>
    <w:multiLevelType w:val="multilevel"/>
    <w:tmpl w:val="6FB4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E26C0"/>
    <w:multiLevelType w:val="hybridMultilevel"/>
    <w:tmpl w:val="7BC81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6D845EE"/>
    <w:multiLevelType w:val="multilevel"/>
    <w:tmpl w:val="1CF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15689"/>
    <w:multiLevelType w:val="multilevel"/>
    <w:tmpl w:val="02DA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824079"/>
    <w:multiLevelType w:val="multilevel"/>
    <w:tmpl w:val="4CD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9209C"/>
    <w:multiLevelType w:val="multilevel"/>
    <w:tmpl w:val="7052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648BA"/>
    <w:multiLevelType w:val="hybridMultilevel"/>
    <w:tmpl w:val="2BD4B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E697FAB"/>
    <w:multiLevelType w:val="multilevel"/>
    <w:tmpl w:val="555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E1701"/>
    <w:multiLevelType w:val="multilevel"/>
    <w:tmpl w:val="702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210CD"/>
    <w:multiLevelType w:val="multilevel"/>
    <w:tmpl w:val="730E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93E9D"/>
    <w:multiLevelType w:val="multilevel"/>
    <w:tmpl w:val="82BE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941D2"/>
    <w:multiLevelType w:val="hybridMultilevel"/>
    <w:tmpl w:val="D2FEF3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73D346A"/>
    <w:multiLevelType w:val="multilevel"/>
    <w:tmpl w:val="1F1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25E8A"/>
    <w:multiLevelType w:val="hybridMultilevel"/>
    <w:tmpl w:val="812052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0A04553"/>
    <w:multiLevelType w:val="multilevel"/>
    <w:tmpl w:val="7934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065762"/>
    <w:multiLevelType w:val="multilevel"/>
    <w:tmpl w:val="029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979A3"/>
    <w:multiLevelType w:val="multilevel"/>
    <w:tmpl w:val="8FBC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3101F"/>
    <w:multiLevelType w:val="hybridMultilevel"/>
    <w:tmpl w:val="7EFABF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3207F4"/>
    <w:multiLevelType w:val="multilevel"/>
    <w:tmpl w:val="A06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767F7D"/>
    <w:multiLevelType w:val="hybridMultilevel"/>
    <w:tmpl w:val="453EC6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B13608D"/>
    <w:multiLevelType w:val="hybridMultilevel"/>
    <w:tmpl w:val="5F2482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7054691">
    <w:abstractNumId w:val="2"/>
  </w:num>
  <w:num w:numId="2" w16cid:durableId="819419776">
    <w:abstractNumId w:val="9"/>
  </w:num>
  <w:num w:numId="3" w16cid:durableId="2017921589">
    <w:abstractNumId w:val="21"/>
  </w:num>
  <w:num w:numId="4" w16cid:durableId="2073959928">
    <w:abstractNumId w:val="25"/>
  </w:num>
  <w:num w:numId="5" w16cid:durableId="402221528">
    <w:abstractNumId w:val="19"/>
  </w:num>
  <w:num w:numId="6" w16cid:durableId="1725563240">
    <w:abstractNumId w:val="6"/>
  </w:num>
  <w:num w:numId="7" w16cid:durableId="1928464326">
    <w:abstractNumId w:val="27"/>
  </w:num>
  <w:num w:numId="8" w16cid:durableId="354118266">
    <w:abstractNumId w:val="3"/>
  </w:num>
  <w:num w:numId="9" w16cid:durableId="1244072569">
    <w:abstractNumId w:val="28"/>
  </w:num>
  <w:num w:numId="10" w16cid:durableId="647779685">
    <w:abstractNumId w:val="14"/>
  </w:num>
  <w:num w:numId="11" w16cid:durableId="1522862477">
    <w:abstractNumId w:val="16"/>
  </w:num>
  <w:num w:numId="12" w16cid:durableId="1795754098">
    <w:abstractNumId w:val="4"/>
  </w:num>
  <w:num w:numId="13" w16cid:durableId="1657488148">
    <w:abstractNumId w:val="10"/>
  </w:num>
  <w:num w:numId="14" w16cid:durableId="1315452733">
    <w:abstractNumId w:val="5"/>
  </w:num>
  <w:num w:numId="15" w16cid:durableId="173112430">
    <w:abstractNumId w:val="24"/>
  </w:num>
  <w:num w:numId="16" w16cid:durableId="1033263233">
    <w:abstractNumId w:val="22"/>
  </w:num>
  <w:num w:numId="17" w16cid:durableId="1727871417">
    <w:abstractNumId w:val="18"/>
  </w:num>
  <w:num w:numId="18" w16cid:durableId="2142796705">
    <w:abstractNumId w:val="12"/>
  </w:num>
  <w:num w:numId="19" w16cid:durableId="1801144894">
    <w:abstractNumId w:val="20"/>
  </w:num>
  <w:num w:numId="20" w16cid:durableId="1274366485">
    <w:abstractNumId w:val="26"/>
  </w:num>
  <w:num w:numId="21" w16cid:durableId="1716274992">
    <w:abstractNumId w:val="17"/>
  </w:num>
  <w:num w:numId="22" w16cid:durableId="1305506938">
    <w:abstractNumId w:val="15"/>
  </w:num>
  <w:num w:numId="23" w16cid:durableId="154686086">
    <w:abstractNumId w:val="7"/>
  </w:num>
  <w:num w:numId="24" w16cid:durableId="1102798658">
    <w:abstractNumId w:val="11"/>
  </w:num>
  <w:num w:numId="25" w16cid:durableId="873275062">
    <w:abstractNumId w:val="8"/>
  </w:num>
  <w:num w:numId="26" w16cid:durableId="323356940">
    <w:abstractNumId w:val="23"/>
  </w:num>
  <w:num w:numId="27" w16cid:durableId="2068650275">
    <w:abstractNumId w:val="13"/>
  </w:num>
  <w:num w:numId="28" w16cid:durableId="529877888">
    <w:abstractNumId w:val="1"/>
  </w:num>
  <w:num w:numId="29" w16cid:durableId="1068576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8A"/>
    <w:rsid w:val="000433DC"/>
    <w:rsid w:val="00091C68"/>
    <w:rsid w:val="000E5D31"/>
    <w:rsid w:val="00123AA0"/>
    <w:rsid w:val="0019452F"/>
    <w:rsid w:val="001B166D"/>
    <w:rsid w:val="0022075A"/>
    <w:rsid w:val="00222BF8"/>
    <w:rsid w:val="002261E7"/>
    <w:rsid w:val="00251E19"/>
    <w:rsid w:val="00283F94"/>
    <w:rsid w:val="002C41D5"/>
    <w:rsid w:val="00321E35"/>
    <w:rsid w:val="00345A13"/>
    <w:rsid w:val="003E5182"/>
    <w:rsid w:val="00400B59"/>
    <w:rsid w:val="004329A3"/>
    <w:rsid w:val="0044725B"/>
    <w:rsid w:val="004A3A52"/>
    <w:rsid w:val="004B2D41"/>
    <w:rsid w:val="004F00DF"/>
    <w:rsid w:val="0054302B"/>
    <w:rsid w:val="005B548A"/>
    <w:rsid w:val="006672E5"/>
    <w:rsid w:val="006716B7"/>
    <w:rsid w:val="006756C0"/>
    <w:rsid w:val="006D7C6A"/>
    <w:rsid w:val="006E7BCB"/>
    <w:rsid w:val="007647F5"/>
    <w:rsid w:val="00791FB7"/>
    <w:rsid w:val="007A2FD5"/>
    <w:rsid w:val="007A4102"/>
    <w:rsid w:val="007B26B0"/>
    <w:rsid w:val="00833BFB"/>
    <w:rsid w:val="00843C46"/>
    <w:rsid w:val="008B00D8"/>
    <w:rsid w:val="008C2F2B"/>
    <w:rsid w:val="009B3F12"/>
    <w:rsid w:val="009C2A1A"/>
    <w:rsid w:val="00A427FA"/>
    <w:rsid w:val="00A4405A"/>
    <w:rsid w:val="00A44251"/>
    <w:rsid w:val="00AD2720"/>
    <w:rsid w:val="00AF1C8B"/>
    <w:rsid w:val="00BA41A8"/>
    <w:rsid w:val="00BB3767"/>
    <w:rsid w:val="00BC0795"/>
    <w:rsid w:val="00BE20FE"/>
    <w:rsid w:val="00C43E80"/>
    <w:rsid w:val="00CA1BCC"/>
    <w:rsid w:val="00D457AB"/>
    <w:rsid w:val="00D541AA"/>
    <w:rsid w:val="00DC6600"/>
    <w:rsid w:val="00DE01E8"/>
    <w:rsid w:val="00DE5526"/>
    <w:rsid w:val="00E0088F"/>
    <w:rsid w:val="00EE31D6"/>
    <w:rsid w:val="00EE4A5D"/>
    <w:rsid w:val="00EE57A5"/>
    <w:rsid w:val="00F21BC6"/>
    <w:rsid w:val="00F31744"/>
    <w:rsid w:val="00F36915"/>
    <w:rsid w:val="00F46D0D"/>
    <w:rsid w:val="00FB7F77"/>
    <w:rsid w:val="00FE50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7914"/>
  <w15:chartTrackingRefBased/>
  <w15:docId w15:val="{369D4910-C864-42C5-A1EE-98264F59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795"/>
  </w:style>
  <w:style w:type="paragraph" w:styleId="Ttulo1">
    <w:name w:val="heading 1"/>
    <w:basedOn w:val="Normal"/>
    <w:next w:val="Normal"/>
    <w:link w:val="Ttulo1Car"/>
    <w:uiPriority w:val="9"/>
    <w:qFormat/>
    <w:rsid w:val="005B5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B5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54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54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54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54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54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54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54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54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B54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54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54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54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54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54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54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548A"/>
    <w:rPr>
      <w:rFonts w:eastAsiaTheme="majorEastAsia" w:cstheme="majorBidi"/>
      <w:color w:val="272727" w:themeColor="text1" w:themeTint="D8"/>
    </w:rPr>
  </w:style>
  <w:style w:type="paragraph" w:styleId="Ttulo">
    <w:name w:val="Title"/>
    <w:basedOn w:val="Normal"/>
    <w:next w:val="Normal"/>
    <w:link w:val="TtuloCar"/>
    <w:uiPriority w:val="10"/>
    <w:qFormat/>
    <w:rsid w:val="005B5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54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54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54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548A"/>
    <w:pPr>
      <w:spacing w:before="160"/>
      <w:jc w:val="center"/>
    </w:pPr>
    <w:rPr>
      <w:i/>
      <w:iCs/>
      <w:color w:val="404040" w:themeColor="text1" w:themeTint="BF"/>
    </w:rPr>
  </w:style>
  <w:style w:type="character" w:customStyle="1" w:styleId="CitaCar">
    <w:name w:val="Cita Car"/>
    <w:basedOn w:val="Fuentedeprrafopredeter"/>
    <w:link w:val="Cita"/>
    <w:uiPriority w:val="29"/>
    <w:rsid w:val="005B548A"/>
    <w:rPr>
      <w:i/>
      <w:iCs/>
      <w:color w:val="404040" w:themeColor="text1" w:themeTint="BF"/>
    </w:rPr>
  </w:style>
  <w:style w:type="paragraph" w:styleId="Prrafodelista">
    <w:name w:val="List Paragraph"/>
    <w:basedOn w:val="Normal"/>
    <w:uiPriority w:val="34"/>
    <w:qFormat/>
    <w:rsid w:val="005B548A"/>
    <w:pPr>
      <w:ind w:left="720"/>
      <w:contextualSpacing/>
    </w:pPr>
  </w:style>
  <w:style w:type="character" w:styleId="nfasisintenso">
    <w:name w:val="Intense Emphasis"/>
    <w:basedOn w:val="Fuentedeprrafopredeter"/>
    <w:uiPriority w:val="21"/>
    <w:qFormat/>
    <w:rsid w:val="005B548A"/>
    <w:rPr>
      <w:i/>
      <w:iCs/>
      <w:color w:val="0F4761" w:themeColor="accent1" w:themeShade="BF"/>
    </w:rPr>
  </w:style>
  <w:style w:type="paragraph" w:styleId="Citadestacada">
    <w:name w:val="Intense Quote"/>
    <w:basedOn w:val="Normal"/>
    <w:next w:val="Normal"/>
    <w:link w:val="CitadestacadaCar"/>
    <w:uiPriority w:val="30"/>
    <w:qFormat/>
    <w:rsid w:val="005B5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548A"/>
    <w:rPr>
      <w:i/>
      <w:iCs/>
      <w:color w:val="0F4761" w:themeColor="accent1" w:themeShade="BF"/>
    </w:rPr>
  </w:style>
  <w:style w:type="character" w:styleId="Referenciaintensa">
    <w:name w:val="Intense Reference"/>
    <w:basedOn w:val="Fuentedeprrafopredeter"/>
    <w:uiPriority w:val="32"/>
    <w:qFormat/>
    <w:rsid w:val="005B548A"/>
    <w:rPr>
      <w:b/>
      <w:bCs/>
      <w:smallCaps/>
      <w:color w:val="0F4761" w:themeColor="accent1" w:themeShade="BF"/>
      <w:spacing w:val="5"/>
    </w:rPr>
  </w:style>
  <w:style w:type="paragraph" w:styleId="Encabezado">
    <w:name w:val="header"/>
    <w:basedOn w:val="Normal"/>
    <w:link w:val="EncabezadoCar"/>
    <w:uiPriority w:val="99"/>
    <w:unhideWhenUsed/>
    <w:rsid w:val="005B54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548A"/>
  </w:style>
  <w:style w:type="paragraph" w:styleId="Piedepgina">
    <w:name w:val="footer"/>
    <w:basedOn w:val="Normal"/>
    <w:link w:val="PiedepginaCar"/>
    <w:uiPriority w:val="99"/>
    <w:unhideWhenUsed/>
    <w:rsid w:val="005B54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548A"/>
  </w:style>
  <w:style w:type="table" w:styleId="Tablaconcuadrcula">
    <w:name w:val="Table Grid"/>
    <w:basedOn w:val="Tablanormal"/>
    <w:uiPriority w:val="59"/>
    <w:rsid w:val="00321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6756C0"/>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Listaconvietas">
    <w:name w:val="List Bullet"/>
    <w:basedOn w:val="Normal"/>
    <w:uiPriority w:val="99"/>
    <w:unhideWhenUsed/>
    <w:rsid w:val="00843C46"/>
    <w:pPr>
      <w:numPr>
        <w:numId w:val="28"/>
      </w:numPr>
      <w:tabs>
        <w:tab w:val="clear" w:pos="360"/>
      </w:tabs>
      <w:spacing w:after="200" w:line="276" w:lineRule="auto"/>
      <w:ind w:left="0" w:firstLine="0"/>
      <w:contextualSpacing/>
    </w:pPr>
    <w:rPr>
      <w:rFonts w:ascii="Calibri" w:eastAsia="Calibri" w:hAnsi="Calibri"/>
      <w:kern w:val="0"/>
      <w:lang w:val="en-US"/>
      <w14:ligatures w14:val="none"/>
    </w:rPr>
  </w:style>
  <w:style w:type="paragraph" w:styleId="Listaconnmeros">
    <w:name w:val="List Number"/>
    <w:basedOn w:val="Normal"/>
    <w:uiPriority w:val="99"/>
    <w:unhideWhenUsed/>
    <w:rsid w:val="00843C46"/>
    <w:pPr>
      <w:numPr>
        <w:numId w:val="29"/>
      </w:numPr>
      <w:tabs>
        <w:tab w:val="clear" w:pos="360"/>
      </w:tabs>
      <w:spacing w:after="200" w:line="276" w:lineRule="auto"/>
      <w:ind w:left="0" w:firstLine="0"/>
      <w:contextualSpacing/>
    </w:pPr>
    <w:rPr>
      <w:rFonts w:ascii="Calibri" w:eastAsia="Calibri" w:hAnsi="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2188</Words>
  <Characters>12037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Brahian Gerardo Diaz Montana</dc:creator>
  <cp:keywords/>
  <dc:description/>
  <cp:lastModifiedBy>Software 3 Inmigracion PRO</cp:lastModifiedBy>
  <cp:revision>2</cp:revision>
  <dcterms:created xsi:type="dcterms:W3CDTF">2026-01-08T21:04:00Z</dcterms:created>
  <dcterms:modified xsi:type="dcterms:W3CDTF">2026-01-08T21:04:00Z</dcterms:modified>
</cp:coreProperties>
</file>