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REQUERIMIENTOS FUNCIONALES</w:t>
      </w:r>
    </w:p>
    <w:p>
      <w:pPr>
        <w:spacing w:after="120"/>
        <w:jc w:val="center"/>
      </w:pPr>
      <w:r>
        <w:rPr>
          <w:b/>
          <w:bCs/>
          <w:color w:val="1E3A5F"/>
          <w:sz w:val="36"/>
          <w:szCs w:val="36"/>
        </w:rPr>
        <w:t xml:space="preserve">MÓDULO DE CALIDAD PARA SOFTWARE HOSPITALARIO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Sistema de Gestión de Calidad para IPS en Colombia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Documento de Especificación de Requerimientos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Versión 1.0 | Diciembre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Marco Normativo 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Resolución 3100 de 2019, Res. 256 de 2016, Res. 5095 de 2018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</w:rPr>
              <w:t xml:space="preserve">Componentes SOGCS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SUH, PAMEC, SUA, SIC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Aplicación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Instituciones Prestadoras de Servicios de Salud (IPS)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MARCO NORMATIVO DEL SISTEMA OBLIGATORIO DE GARANTÍA DE CALIDAD</w:t>
      </w:r>
    </w:p>
    <w:p>
      <w:pPr>
        <w:spacing w:after="200"/>
      </w:pPr>
      <w:r>
        <w:t xml:space="preserve">El Sistema Obligatorio de Garantía de Calidad de la Atención de Salud (SOGCS) en Colombia está regulado por el Decreto 780 de 2016 y está conformado por cuatro componentes fundamentales que deben estar integrados en cualquier software hospitalario:</w:t>
      </w:r>
    </w:p>
    <w:p>
      <w:pPr>
        <w:pStyle w:val="Heading2"/>
      </w:pPr>
      <w:r>
        <w:t xml:space="preserve">1.1 Componentes del SOGCS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NORMATIVA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</w:rPr>
              <w:t xml:space="preserve">SUH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Sistema Único de Habilitación - Condiciones mínimas obligatorias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Resolución 3100 de 2019, Res. 544 de 2023, Res. 465 de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PAMEC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Programa de Auditoría para el Mejoramiento de la Calidad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Resolución 1445 de 2006, Guías Ministerio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</w:rPr>
              <w:t xml:space="preserve">SUA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Sistema Único de Acreditación - Estándares superiores voluntarios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Resolución 5095 de 2018, Res. 1328 de 2021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de Información para la Calidad - Indicadores obligatorios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Resolución 256 de 2016, Res. 3539 de 2019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MÓDULO DE HABILITACIÓN (SUH)</w:t>
      </w:r>
    </w:p>
    <w:p>
      <w:pPr>
        <w:spacing w:after="200"/>
      </w:pPr>
      <w:r>
        <w:t xml:space="preserve">El módulo debe gestionar los 7 estándares de habilitación establecidos en la Resolución 3100 de 2019 y sus modificaciones (Res. 544/2023, Res. 465/2025):</w:t>
      </w:r>
    </w:p>
    <w:p>
      <w:pPr>
        <w:pStyle w:val="Heading2"/>
      </w:pPr>
      <w:r>
        <w:t xml:space="preserve">2.1 Gestión de Estándares de Habilitación</w:t>
      </w:r>
    </w:p>
    <w:p>
      <w:pPr>
        <w:pStyle w:val="Heading3"/>
      </w:pPr>
      <w:r>
        <w:t xml:space="preserve">2.1.1 Talento Humano</w:t>
      </w:r>
    </w:p>
    <w:p>
      <w:pPr>
        <w:pStyle w:val="ListParagraph"/>
        <w:numPr>
          <w:ilvl w:val="0"/>
          <w:numId w:val="2"/>
        </w:numPr>
      </w:pPr>
      <w:r>
        <w:t xml:space="preserve">Registro y control de perfiles profesionales por servicio</w:t>
      </w:r>
    </w:p>
    <w:p>
      <w:pPr>
        <w:pStyle w:val="ListParagraph"/>
        <w:numPr>
          <w:ilvl w:val="0"/>
          <w:numId w:val="2"/>
        </w:numPr>
      </w:pPr>
      <w:r>
        <w:t xml:space="preserve">Verificación de títulos de educación superior y certificados de aptitud ocupacional</w:t>
      </w:r>
    </w:p>
    <w:p>
      <w:pPr>
        <w:pStyle w:val="ListParagraph"/>
        <w:numPr>
          <w:ilvl w:val="0"/>
          <w:numId w:val="2"/>
        </w:numPr>
      </w:pPr>
      <w:r>
        <w:t xml:space="preserve">Control de resolución de autorización o inscripción en RETHUS</w:t>
      </w:r>
    </w:p>
    <w:p>
      <w:pPr>
        <w:pStyle w:val="ListParagraph"/>
        <w:numPr>
          <w:ilvl w:val="0"/>
          <w:numId w:val="2"/>
        </w:numPr>
      </w:pPr>
      <w:r>
        <w:t xml:space="preserve">Gestión de constancias de formación continua con alertas de vencimiento</w:t>
      </w:r>
    </w:p>
    <w:p>
      <w:pPr>
        <w:pStyle w:val="ListParagraph"/>
        <w:numPr>
          <w:ilvl w:val="0"/>
          <w:numId w:val="2"/>
        </w:numPr>
      </w:pPr>
      <w:r>
        <w:t xml:space="preserve">Control de personal en entrenamiento y supervisión</w:t>
      </w:r>
    </w:p>
    <w:p>
      <w:pPr>
        <w:pStyle w:val="ListParagraph"/>
        <w:numPr>
          <w:ilvl w:val="0"/>
          <w:numId w:val="2"/>
        </w:numPr>
      </w:pPr>
      <w:r>
        <w:t xml:space="preserve">Matriz de competencias y funciones por cargo</w:t>
      </w:r>
    </w:p>
    <w:p>
      <w:pPr>
        <w:pStyle w:val="Heading3"/>
      </w:pPr>
      <w:r>
        <w:t xml:space="preserve">2.1.2 Infraestructura</w:t>
      </w:r>
    </w:p>
    <w:p>
      <w:pPr>
        <w:pStyle w:val="ListParagraph"/>
        <w:numPr>
          <w:ilvl w:val="0"/>
          <w:numId w:val="2"/>
        </w:numPr>
      </w:pPr>
      <w:r>
        <w:t xml:space="preserve">Inventario de áreas y ambientes por servicio habilitado</w:t>
      </w:r>
    </w:p>
    <w:p>
      <w:pPr>
        <w:pStyle w:val="ListParagraph"/>
        <w:numPr>
          <w:ilvl w:val="0"/>
          <w:numId w:val="2"/>
        </w:numPr>
      </w:pPr>
      <w:r>
        <w:t xml:space="preserve">Verificación de cumplimiento de condiciones físicas (Resolución 4445 de 1996)</w:t>
      </w:r>
    </w:p>
    <w:p>
      <w:pPr>
        <w:pStyle w:val="ListParagraph"/>
        <w:numPr>
          <w:ilvl w:val="0"/>
          <w:numId w:val="2"/>
        </w:numPr>
      </w:pPr>
      <w:r>
        <w:t xml:space="preserve">Control de mantenimiento preventivo y correctivo de instalaciones</w:t>
      </w:r>
    </w:p>
    <w:p>
      <w:pPr>
        <w:pStyle w:val="ListParagraph"/>
        <w:numPr>
          <w:ilvl w:val="0"/>
          <w:numId w:val="2"/>
        </w:numPr>
      </w:pPr>
      <w:r>
        <w:t xml:space="preserve">Gestión de planos y licencias de construcción</w:t>
      </w:r>
    </w:p>
    <w:p>
      <w:pPr>
        <w:pStyle w:val="ListParagraph"/>
        <w:numPr>
          <w:ilvl w:val="0"/>
          <w:numId w:val="2"/>
        </w:numPr>
      </w:pPr>
      <w:r>
        <w:t xml:space="preserve">Control de señalización y accesibilidad (Ley 1618 de 2013)</w:t>
      </w:r>
    </w:p>
    <w:p>
      <w:pPr>
        <w:pStyle w:val="Heading3"/>
      </w:pPr>
      <w:r>
        <w:t xml:space="preserve">2.1.3 Dotación</w:t>
      </w:r>
    </w:p>
    <w:p>
      <w:pPr>
        <w:pStyle w:val="ListParagraph"/>
        <w:numPr>
          <w:ilvl w:val="0"/>
          <w:numId w:val="2"/>
        </w:numPr>
      </w:pPr>
      <w:r>
        <w:t xml:space="preserve">Inventario de equipos biomédicos y mobiliario por servicio</w:t>
      </w:r>
    </w:p>
    <w:p>
      <w:pPr>
        <w:pStyle w:val="ListParagraph"/>
        <w:numPr>
          <w:ilvl w:val="0"/>
          <w:numId w:val="2"/>
        </w:numPr>
      </w:pPr>
      <w:r>
        <w:t xml:space="preserve">Control de hojas de vida de equipos con historial de calibración</w:t>
      </w:r>
    </w:p>
    <w:p>
      <w:pPr>
        <w:pStyle w:val="ListParagraph"/>
        <w:numPr>
          <w:ilvl w:val="0"/>
          <w:numId w:val="2"/>
        </w:numPr>
      </w:pPr>
      <w:r>
        <w:t xml:space="preserve">Programación y seguimiento de mantenimiento preventivo</w:t>
      </w:r>
    </w:p>
    <w:p>
      <w:pPr>
        <w:pStyle w:val="ListParagraph"/>
        <w:numPr>
          <w:ilvl w:val="0"/>
          <w:numId w:val="2"/>
        </w:numPr>
      </w:pPr>
      <w:r>
        <w:t xml:space="preserve">Alertas de vencimiento de calibración y mantenimiento</w:t>
      </w:r>
    </w:p>
    <w:p>
      <w:pPr>
        <w:pStyle w:val="ListParagraph"/>
        <w:numPr>
          <w:ilvl w:val="0"/>
          <w:numId w:val="2"/>
        </w:numPr>
      </w:pPr>
      <w:r>
        <w:t xml:space="preserve">Registro de vida útil y depreciación de equipos</w:t>
      </w:r>
    </w:p>
    <w:p>
      <w:pPr>
        <w:pStyle w:val="Heading3"/>
      </w:pPr>
      <w:r>
        <w:t xml:space="preserve">2.1.4 Medicamentos, Dispositivos Médicos e Insumos</w:t>
      </w:r>
    </w:p>
    <w:p>
      <w:pPr>
        <w:pStyle w:val="ListParagraph"/>
        <w:numPr>
          <w:ilvl w:val="0"/>
          <w:numId w:val="2"/>
        </w:numPr>
      </w:pPr>
      <w:r>
        <w:t xml:space="preserve">Control de registro sanitario INVIMA vigente</w:t>
      </w:r>
    </w:p>
    <w:p>
      <w:pPr>
        <w:pStyle w:val="ListParagraph"/>
        <w:numPr>
          <w:ilvl w:val="0"/>
          <w:numId w:val="2"/>
        </w:numPr>
      </w:pPr>
      <w:r>
        <w:t xml:space="preserve">Gestión de cadena de frío y condiciones de almacenamiento</w:t>
      </w:r>
    </w:p>
    <w:p>
      <w:pPr>
        <w:pStyle w:val="ListParagraph"/>
        <w:numPr>
          <w:ilvl w:val="0"/>
          <w:numId w:val="2"/>
        </w:numPr>
      </w:pPr>
      <w:r>
        <w:t xml:space="preserve">Control de fechas de vencimiento con alertas automáticas</w:t>
      </w:r>
    </w:p>
    <w:p>
      <w:pPr>
        <w:pStyle w:val="ListParagraph"/>
        <w:numPr>
          <w:ilvl w:val="0"/>
          <w:numId w:val="2"/>
        </w:numPr>
      </w:pPr>
      <w:r>
        <w:t xml:space="preserve">Trazabilidad completa de lotes</w:t>
      </w:r>
    </w:p>
    <w:p>
      <w:pPr>
        <w:pStyle w:val="ListParagraph"/>
        <w:numPr>
          <w:ilvl w:val="0"/>
          <w:numId w:val="2"/>
        </w:numPr>
      </w:pPr>
      <w:r>
        <w:t xml:space="preserve">Integración con programa de Farmacovigilancia y Tecnovigilancia</w:t>
      </w:r>
    </w:p>
    <w:p>
      <w:pPr>
        <w:pStyle w:val="Heading3"/>
      </w:pPr>
      <w:r>
        <w:t xml:space="preserve">2.1.5 Procesos Prioritarios</w:t>
      </w:r>
    </w:p>
    <w:p>
      <w:pPr>
        <w:pStyle w:val="ListParagraph"/>
        <w:numPr>
          <w:ilvl w:val="0"/>
          <w:numId w:val="2"/>
        </w:numPr>
      </w:pPr>
      <w:r>
        <w:t xml:space="preserve">Gestión documental del Programa de Seguridad del Paciente</w:t>
      </w:r>
    </w:p>
    <w:p>
      <w:pPr>
        <w:pStyle w:val="ListParagraph"/>
        <w:numPr>
          <w:ilvl w:val="0"/>
          <w:numId w:val="2"/>
        </w:numPr>
      </w:pPr>
      <w:r>
        <w:t xml:space="preserve">Control del Plan de Gestión Integral de Residuos Hospitalarios (PGIRH)</w:t>
      </w:r>
    </w:p>
    <w:p>
      <w:pPr>
        <w:pStyle w:val="ListParagraph"/>
        <w:numPr>
          <w:ilvl w:val="0"/>
          <w:numId w:val="2"/>
        </w:numPr>
      </w:pPr>
      <w:r>
        <w:t xml:space="preserve">Repositorio de guías y protocolos de atención</w:t>
      </w:r>
    </w:p>
    <w:p>
      <w:pPr>
        <w:pStyle w:val="ListParagraph"/>
        <w:numPr>
          <w:ilvl w:val="0"/>
          <w:numId w:val="2"/>
        </w:numPr>
      </w:pPr>
      <w:r>
        <w:t xml:space="preserve">Gestión del proceso de referencia y contrarreferencia</w:t>
      </w:r>
    </w:p>
    <w:p>
      <w:pPr>
        <w:pStyle w:val="ListParagraph"/>
        <w:numPr>
          <w:ilvl w:val="0"/>
          <w:numId w:val="2"/>
        </w:numPr>
      </w:pPr>
      <w:r>
        <w:t xml:space="preserve">Control de reportes SIVIGILA</w:t>
      </w:r>
    </w:p>
    <w:p>
      <w:pPr>
        <w:pStyle w:val="ListParagraph"/>
        <w:numPr>
          <w:ilvl w:val="0"/>
          <w:numId w:val="2"/>
        </w:numPr>
      </w:pPr>
      <w:r>
        <w:t xml:space="preserve">Protocolo de bioseguridad institucional</w:t>
      </w:r>
    </w:p>
    <w:p>
      <w:pPr>
        <w:pStyle w:val="Heading3"/>
      </w:pPr>
      <w:r>
        <w:t xml:space="preserve">2.1.6 Historia Clínica y Registros</w:t>
      </w:r>
    </w:p>
    <w:p>
      <w:pPr>
        <w:pStyle w:val="ListParagraph"/>
        <w:numPr>
          <w:ilvl w:val="0"/>
          <w:numId w:val="2"/>
        </w:numPr>
      </w:pPr>
      <w:r>
        <w:t xml:space="preserve">Cumplimiento de Resolución 3374 de 2000 y normativa vigente</w:t>
      </w:r>
    </w:p>
    <w:p>
      <w:pPr>
        <w:pStyle w:val="ListParagraph"/>
        <w:numPr>
          <w:ilvl w:val="0"/>
          <w:numId w:val="2"/>
        </w:numPr>
      </w:pPr>
      <w:r>
        <w:t xml:space="preserve">Auditoría de calidad de registros clínicos</w:t>
      </w:r>
    </w:p>
    <w:p>
      <w:pPr>
        <w:pStyle w:val="ListParagraph"/>
        <w:numPr>
          <w:ilvl w:val="0"/>
          <w:numId w:val="2"/>
        </w:numPr>
      </w:pPr>
      <w:r>
        <w:t xml:space="preserve">Control de consentimientos informados</w:t>
      </w:r>
    </w:p>
    <w:p>
      <w:pPr>
        <w:pStyle w:val="ListParagraph"/>
        <w:numPr>
          <w:ilvl w:val="0"/>
          <w:numId w:val="2"/>
        </w:numPr>
      </w:pPr>
      <w:r>
        <w:t xml:space="preserve">Gestión de custodia y confidencialidad (Ley 1581 de 2012)</w:t>
      </w:r>
    </w:p>
    <w:p>
      <w:pPr>
        <w:pStyle w:val="ListParagraph"/>
        <w:numPr>
          <w:ilvl w:val="0"/>
          <w:numId w:val="2"/>
        </w:numPr>
      </w:pPr>
      <w:r>
        <w:t xml:space="preserve">Interoperabilidad con Historia Clínica Electrónica Nacional</w:t>
      </w:r>
    </w:p>
    <w:p>
      <w:pPr>
        <w:pStyle w:val="Heading3"/>
      </w:pPr>
      <w:r>
        <w:t xml:space="preserve">2.1.7 Interdependencia de Servicios</w:t>
      </w:r>
    </w:p>
    <w:p>
      <w:pPr>
        <w:pStyle w:val="ListParagraph"/>
        <w:numPr>
          <w:ilvl w:val="0"/>
          <w:numId w:val="2"/>
        </w:numPr>
      </w:pPr>
      <w:r>
        <w:t xml:space="preserve">Matriz de servicios de apoyo requeridos por cada servicio habilitado</w:t>
      </w:r>
    </w:p>
    <w:p>
      <w:pPr>
        <w:pStyle w:val="ListParagraph"/>
        <w:numPr>
          <w:ilvl w:val="0"/>
          <w:numId w:val="2"/>
        </w:numPr>
      </w:pPr>
      <w:r>
        <w:t xml:space="preserve">Control de contratos y convenios de servicios tercerizados</w:t>
      </w:r>
    </w:p>
    <w:p>
      <w:pPr>
        <w:pStyle w:val="ListParagraph"/>
        <w:numPr>
          <w:ilvl w:val="0"/>
          <w:numId w:val="2"/>
        </w:numPr>
      </w:pPr>
      <w:r>
        <w:t xml:space="preserve">Verificación de habilitación de prestadores de apoyo</w:t>
      </w:r>
    </w:p>
    <w:p>
      <w:r>
        <w:br w:type="page"/>
      </w:r>
    </w:p>
    <w:p>
      <w:pPr>
        <w:pStyle w:val="Heading2"/>
      </w:pPr>
      <w:r>
        <w:t xml:space="preserve">2.2 Submódulo de Autoevaluación</w:t>
      </w:r>
    </w:p>
    <w:p>
      <w:pPr>
        <w:spacing w:after="200"/>
      </w:pPr>
      <w:r>
        <w:t xml:space="preserve">Herramienta digital para autoevaluación de condiciones de habilitación:</w:t>
      </w:r>
    </w:p>
    <w:p>
      <w:pPr>
        <w:pStyle w:val="ListParagraph"/>
        <w:numPr>
          <w:ilvl w:val="0"/>
          <w:numId w:val="3"/>
        </w:numPr>
      </w:pPr>
      <w:r>
        <w:t xml:space="preserve">Listas de chequeo digitales por cada estándar y servicio</w:t>
      </w:r>
    </w:p>
    <w:p>
      <w:pPr>
        <w:pStyle w:val="ListParagraph"/>
        <w:numPr>
          <w:ilvl w:val="0"/>
          <w:numId w:val="3"/>
        </w:numPr>
      </w:pPr>
      <w:r>
        <w:t xml:space="preserve">Cargue de evidencias documentales y fotográficas</w:t>
      </w:r>
    </w:p>
    <w:p>
      <w:pPr>
        <w:pStyle w:val="ListParagraph"/>
        <w:numPr>
          <w:ilvl w:val="0"/>
          <w:numId w:val="3"/>
        </w:numPr>
      </w:pPr>
      <w:r>
        <w:t xml:space="preserve">Calificación automática de cumplimiento porcentual</w:t>
      </w:r>
    </w:p>
    <w:p>
      <w:pPr>
        <w:pStyle w:val="ListParagraph"/>
        <w:numPr>
          <w:ilvl w:val="0"/>
          <w:numId w:val="3"/>
        </w:numPr>
      </w:pPr>
      <w:r>
        <w:t xml:space="preserve">Identificación de brechas y no conformidades</w:t>
      </w:r>
    </w:p>
    <w:p>
      <w:pPr>
        <w:pStyle w:val="ListParagraph"/>
        <w:numPr>
          <w:ilvl w:val="0"/>
          <w:numId w:val="3"/>
        </w:numPr>
      </w:pPr>
      <w:r>
        <w:t xml:space="preserve">Generación de planes de acción para cierre de brechas</w:t>
      </w:r>
    </w:p>
    <w:p>
      <w:pPr>
        <w:pStyle w:val="ListParagraph"/>
        <w:numPr>
          <w:ilvl w:val="0"/>
          <w:numId w:val="3"/>
        </w:numPr>
      </w:pPr>
      <w:r>
        <w:t xml:space="preserve">Historial de autoevaluaciones con comparativos</w:t>
      </w:r>
    </w:p>
    <w:p>
      <w:pPr>
        <w:pStyle w:val="ListParagraph"/>
        <w:numPr>
          <w:ilvl w:val="0"/>
          <w:numId w:val="3"/>
        </w:numPr>
      </w:pPr>
      <w:r>
        <w:t xml:space="preserve">Alertas de próximas autoevaluaciones (obligatoria anual)</w:t>
      </w:r>
    </w:p>
    <w:p>
      <w:pPr>
        <w:pStyle w:val="ListParagraph"/>
        <w:numPr>
          <w:ilvl w:val="0"/>
          <w:numId w:val="3"/>
        </w:numPr>
      </w:pPr>
      <w:r>
        <w:t xml:space="preserve">Generación de formulario de declaración para REPS</w:t>
      </w:r>
    </w:p>
    <w:p>
      <w:pPr>
        <w:pStyle w:val="Heading2"/>
      </w:pPr>
      <w:r>
        <w:t xml:space="preserve">2.3 Gestión de Visitas de Verificación</w:t>
      </w:r>
    </w:p>
    <w:p>
      <w:pPr>
        <w:pStyle w:val="ListParagraph"/>
        <w:numPr>
          <w:ilvl w:val="0"/>
          <w:numId w:val="2"/>
        </w:numPr>
      </w:pPr>
      <w:r>
        <w:t xml:space="preserve">Registro y seguimiento de visitas de la Secretaría de Salud</w:t>
      </w:r>
    </w:p>
    <w:p>
      <w:pPr>
        <w:pStyle w:val="ListParagraph"/>
        <w:numPr>
          <w:ilvl w:val="0"/>
          <w:numId w:val="2"/>
        </w:numPr>
      </w:pPr>
      <w:r>
        <w:t xml:space="preserve">Cargue de actas de visita y hallazgos</w:t>
      </w:r>
    </w:p>
    <w:p>
      <w:pPr>
        <w:pStyle w:val="ListParagraph"/>
        <w:numPr>
          <w:ilvl w:val="0"/>
          <w:numId w:val="2"/>
        </w:numPr>
      </w:pPr>
      <w:r>
        <w:t xml:space="preserve">Gestión de planes de mejoramiento post-visita</w:t>
      </w:r>
    </w:p>
    <w:p>
      <w:pPr>
        <w:pStyle w:val="ListParagraph"/>
        <w:numPr>
          <w:ilvl w:val="0"/>
          <w:numId w:val="2"/>
        </w:numPr>
      </w:pPr>
      <w:r>
        <w:t xml:space="preserve">Control de plazos de respuesta</w:t>
      </w:r>
    </w:p>
    <w:p>
      <w:pPr>
        <w:pStyle w:val="ListParagraph"/>
        <w:numPr>
          <w:ilvl w:val="0"/>
          <w:numId w:val="2"/>
        </w:numPr>
      </w:pPr>
      <w:r>
        <w:t xml:space="preserve">Trazabilidad de visitas previas, reactivas y de verificación</w:t>
      </w:r>
    </w:p>
    <w:p>
      <w:r>
        <w:br w:type="page"/>
      </w:r>
    </w:p>
    <w:p>
      <w:pPr>
        <w:pStyle w:val="Heading1"/>
      </w:pPr>
      <w:r>
        <w:t xml:space="preserve">3. MÓDULO PAMEC - AUDITORÍA PARA EL MEJORAMIENTO DE LA CALIDAD</w:t>
      </w:r>
    </w:p>
    <w:p>
      <w:pPr>
        <w:spacing w:after="200"/>
      </w:pPr>
      <w:r>
        <w:t xml:space="preserve">El PAMEC es obligatorio para todas las IPS y debe implementarse siguiendo la Ruta Crítica establecida por el Ministerio de Salud:</w:t>
      </w:r>
    </w:p>
    <w:p>
      <w:pPr>
        <w:pStyle w:val="Heading2"/>
      </w:pPr>
      <w:r>
        <w:t xml:space="preserve">3.1 Ruta Crítica del PAMEC (Ciclo PHVA)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 REQUERIDA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Conformación equipo PAMEC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Registro de integrantes, roles, actas de nombramiento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Autoevaluación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Calificación de calidad observada vs calidad esperada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Selección de procesos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Identificación de oportunidades de mejora por proceso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Priorización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Matriz de priorización con criterios (riesgo, volumen, costo)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Definición calidad esperada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Fichas técnicas de indicadores con metas institucionales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Medición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automático de indicadores, identificación de brechas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Plan de 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Gestión de actividades, responsables, fechas, recursos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Ejecución del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Seguimiento de avance, cargue de evidencias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Evaluación de mejoramiento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Comparativo de indicadores pre/post, análisis de impacto</w:t>
            </w:r>
          </w:p>
        </w:tc>
      </w:tr>
    </w:tbl>
    <w:p>
      <w:pPr>
        <w:pStyle w:val="Heading2"/>
      </w:pPr>
      <w:r>
        <w:t xml:space="preserve">3.2 Gestión de Auditorías Internas</w:t>
      </w:r>
    </w:p>
    <w:p>
      <w:pPr>
        <w:pStyle w:val="ListParagraph"/>
        <w:numPr>
          <w:ilvl w:val="0"/>
          <w:numId w:val="2"/>
        </w:numPr>
      </w:pPr>
      <w:r>
        <w:t xml:space="preserve">Planificación anual de auditorías por proceso/servicio</w:t>
      </w:r>
    </w:p>
    <w:p>
      <w:pPr>
        <w:pStyle w:val="ListParagraph"/>
        <w:numPr>
          <w:ilvl w:val="0"/>
          <w:numId w:val="2"/>
        </w:numPr>
      </w:pPr>
      <w:r>
        <w:t xml:space="preserve">Listas de verificación configurables por tipo de auditoría</w:t>
      </w:r>
    </w:p>
    <w:p>
      <w:pPr>
        <w:pStyle w:val="ListParagraph"/>
        <w:numPr>
          <w:ilvl w:val="0"/>
          <w:numId w:val="2"/>
        </w:numPr>
      </w:pPr>
      <w:r>
        <w:t xml:space="preserve">Registro de hallazgos con clasificación (NC mayor, NC menor, observación)</w:t>
      </w:r>
    </w:p>
    <w:p>
      <w:pPr>
        <w:pStyle w:val="ListParagraph"/>
        <w:numPr>
          <w:ilvl w:val="0"/>
          <w:numId w:val="2"/>
        </w:numPr>
      </w:pPr>
      <w:r>
        <w:t xml:space="preserve">Análisis de causa raíz (Protocolo de Londres, Espina de pescado, 5 Porqués)</w:t>
      </w:r>
    </w:p>
    <w:p>
      <w:pPr>
        <w:pStyle w:val="ListParagraph"/>
        <w:numPr>
          <w:ilvl w:val="0"/>
          <w:numId w:val="2"/>
        </w:numPr>
      </w:pPr>
      <w:r>
        <w:t xml:space="preserve">Generación de informes de auditoría estandarizados</w:t>
      </w:r>
    </w:p>
    <w:p>
      <w:r>
        <w:br w:type="page"/>
      </w:r>
    </w:p>
    <w:p>
      <w:pPr>
        <w:pStyle w:val="Heading1"/>
      </w:pPr>
      <w:r>
        <w:t xml:space="preserve">4. MÓDULO DE SEGURIDAD DEL PACIENTE</w:t>
      </w:r>
    </w:p>
    <w:p>
      <w:pPr>
        <w:spacing w:after="200"/>
      </w:pPr>
      <w:r>
        <w:t xml:space="preserve">Basado en los Lineamientos para la Implementación de la Política de Seguridad del Paciente (2008) y la Guía Técnica de Buenas Prácticas (2010):</w:t>
      </w:r>
    </w:p>
    <w:p>
      <w:pPr>
        <w:pStyle w:val="Heading2"/>
      </w:pPr>
      <w:r>
        <w:t xml:space="preserve">4.1 Gestión de Eventos e Incidentes</w:t>
      </w:r>
    </w:p>
    <w:p>
      <w:pPr>
        <w:pStyle w:val="ListParagraph"/>
        <w:numPr>
          <w:ilvl w:val="0"/>
          <w:numId w:val="2"/>
        </w:numPr>
      </w:pPr>
      <w:r>
        <w:t xml:space="preserve">Reporte confidencial y no punitivo de eventos adversos</w:t>
      </w:r>
    </w:p>
    <w:p>
      <w:pPr>
        <w:pStyle w:val="ListParagraph"/>
        <w:numPr>
          <w:ilvl w:val="0"/>
          <w:numId w:val="2"/>
        </w:numPr>
      </w:pPr>
      <w:r>
        <w:t xml:space="preserve">Clasificación según taxonomía (evento adverso prevenible/no prevenible, incidente, complicación)</w:t>
      </w:r>
    </w:p>
    <w:p>
      <w:pPr>
        <w:pStyle w:val="ListParagraph"/>
        <w:numPr>
          <w:ilvl w:val="0"/>
          <w:numId w:val="2"/>
        </w:numPr>
      </w:pPr>
      <w:r>
        <w:t xml:space="preserve">Análisis de eventos mediante Protocolo de Londres</w:t>
      </w:r>
    </w:p>
    <w:p>
      <w:pPr>
        <w:pStyle w:val="ListParagraph"/>
        <w:numPr>
          <w:ilvl w:val="0"/>
          <w:numId w:val="2"/>
        </w:numPr>
      </w:pPr>
      <w:r>
        <w:t xml:space="preserve">Identificación de factores contributivos y barreras fallidas</w:t>
      </w:r>
    </w:p>
    <w:p>
      <w:pPr>
        <w:pStyle w:val="ListParagraph"/>
        <w:numPr>
          <w:ilvl w:val="0"/>
          <w:numId w:val="2"/>
        </w:numPr>
      </w:pPr>
      <w:r>
        <w:t xml:space="preserve">Gestión de acciones de mejora y barreras de seguridad</w:t>
      </w:r>
    </w:p>
    <w:p>
      <w:pPr>
        <w:pStyle w:val="ListParagraph"/>
        <w:numPr>
          <w:ilvl w:val="0"/>
          <w:numId w:val="2"/>
        </w:numPr>
      </w:pPr>
      <w:r>
        <w:t xml:space="preserve">Dashboard de indicadores de seguridad del paciente</w:t>
      </w:r>
    </w:p>
    <w:p>
      <w:pPr>
        <w:pStyle w:val="Heading2"/>
      </w:pPr>
      <w:r>
        <w:t xml:space="preserve">4.2 Prácticas Seguras Obligatorias</w:t>
      </w:r>
    </w:p>
    <w:p>
      <w:pPr>
        <w:spacing w:after="100"/>
      </w:pPr>
      <w:r>
        <w:t xml:space="preserve">El módulo debe permitir gestionar las siguientes prácticas seguras: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PRÁCTICA SEGURA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Identificación correcta del paciente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Verificación de doble identificador, integración con manillas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Comunicación efectiva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de entregas de turno (SBAR), alertas críticas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Medicamentos de alto riesgo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Alertas en prescripción, doble verificación, 5 correctos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Cirugía segura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Lista de chequeo OMS integrada, verificación pre/intra/post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Prevención de IAAS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Control de higiene de manos, bundles de prevención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Prevención de caídas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Escala de riesgo de caídas, alertas, plan de prevención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Prevención de úlceras por presión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Escala Braden/Norton, plan de cuidado automatizado</w:t>
            </w:r>
          </w:p>
        </w:tc>
      </w:tr>
    </w:tbl>
    <w:p>
      <w:pPr>
        <w:pStyle w:val="Heading2"/>
      </w:pPr>
      <w:r>
        <w:t xml:space="preserve">4.3 Gestión de Rondas de Seguridad</w:t>
      </w:r>
    </w:p>
    <w:p>
      <w:pPr>
        <w:pStyle w:val="ListParagraph"/>
        <w:numPr>
          <w:ilvl w:val="0"/>
          <w:numId w:val="2"/>
        </w:numPr>
      </w:pPr>
      <w:r>
        <w:t xml:space="preserve">Programación de rondas por servicio</w:t>
      </w:r>
    </w:p>
    <w:p>
      <w:pPr>
        <w:pStyle w:val="ListParagraph"/>
        <w:numPr>
          <w:ilvl w:val="0"/>
          <w:numId w:val="2"/>
        </w:numPr>
      </w:pPr>
      <w:r>
        <w:t xml:space="preserve">Listas de verificación digitales</w:t>
      </w:r>
    </w:p>
    <w:p>
      <w:pPr>
        <w:pStyle w:val="ListParagraph"/>
        <w:numPr>
          <w:ilvl w:val="0"/>
          <w:numId w:val="2"/>
        </w:numPr>
      </w:pPr>
      <w:r>
        <w:t xml:space="preserve">Registro de hallazgos con fotografías</w:t>
      </w:r>
    </w:p>
    <w:p>
      <w:pPr>
        <w:pStyle w:val="ListParagraph"/>
        <w:numPr>
          <w:ilvl w:val="0"/>
          <w:numId w:val="2"/>
        </w:numPr>
      </w:pPr>
      <w:r>
        <w:t xml:space="preserve">Seguimiento de acciones correctivas</w:t>
      </w:r>
    </w:p>
    <w:p>
      <w:r>
        <w:br w:type="page"/>
      </w:r>
    </w:p>
    <w:p>
      <w:pPr>
        <w:pStyle w:val="Heading1"/>
      </w:pPr>
      <w:r>
        <w:t xml:space="preserve">5. MÓDULO DE INDICADORES DE CALIDAD (SIC)</w:t>
      </w:r>
    </w:p>
    <w:p>
      <w:pPr>
        <w:spacing w:after="200"/>
      </w:pPr>
      <w:r>
        <w:t xml:space="preserve">Basado en la Resolución 256 de 2016 y sus modificaciones, el módulo debe gestionar los indicadores obligatorios de reporte a SISPRO:</w:t>
      </w:r>
    </w:p>
    <w:p>
      <w:pPr>
        <w:pStyle w:val="Heading2"/>
      </w:pPr>
      <w:r>
        <w:t xml:space="preserve">5.1 Indicadores por Dominio</w:t>
      </w:r>
    </w:p>
    <w:p>
      <w:pPr>
        <w:pStyle w:val="Heading3"/>
      </w:pPr>
      <w:r>
        <w:t xml:space="preserve">5.1.1 Dominio de Efectividad</w:t>
      </w:r>
    </w:p>
    <w:p>
      <w:pPr>
        <w:pStyle w:val="ListParagraph"/>
        <w:numPr>
          <w:ilvl w:val="0"/>
          <w:numId w:val="2"/>
        </w:numPr>
      </w:pPr>
      <w:r>
        <w:t xml:space="preserve">P.1.1 Proporción de gestantes con control prenatal antes de 12 semanas</w:t>
      </w:r>
    </w:p>
    <w:p>
      <w:pPr>
        <w:pStyle w:val="ListParagraph"/>
        <w:numPr>
          <w:ilvl w:val="0"/>
          <w:numId w:val="2"/>
        </w:numPr>
      </w:pPr>
      <w:r>
        <w:t xml:space="preserve">P.1.2 Proporción de gestantes con valoración por odontología</w:t>
      </w:r>
    </w:p>
    <w:p>
      <w:pPr>
        <w:pStyle w:val="ListParagraph"/>
        <w:numPr>
          <w:ilvl w:val="0"/>
          <w:numId w:val="2"/>
        </w:numPr>
      </w:pPr>
      <w:r>
        <w:t xml:space="preserve">P.1.7 Proporción de reingreso hospitalario por IRA en menores de 5 años</w:t>
      </w:r>
    </w:p>
    <w:p>
      <w:pPr>
        <w:pStyle w:val="ListParagraph"/>
        <w:numPr>
          <w:ilvl w:val="0"/>
          <w:numId w:val="2"/>
        </w:numPr>
      </w:pPr>
      <w:r>
        <w:t xml:space="preserve">P.1.10 Proporción de gestantes con asesoría pre-test VIH</w:t>
      </w:r>
    </w:p>
    <w:p>
      <w:pPr>
        <w:pStyle w:val="ListParagraph"/>
        <w:numPr>
          <w:ilvl w:val="0"/>
          <w:numId w:val="2"/>
        </w:numPr>
      </w:pPr>
      <w:r>
        <w:t xml:space="preserve">P.1.13 Proporción de pacientes hospitalizados por Dengue Grave</w:t>
      </w:r>
    </w:p>
    <w:p>
      <w:pPr>
        <w:pStyle w:val="Heading3"/>
      </w:pPr>
      <w:r>
        <w:t xml:space="preserve">5.1.2 Dominio de Seguridad</w:t>
      </w:r>
    </w:p>
    <w:p>
      <w:pPr>
        <w:pStyle w:val="ListParagraph"/>
        <w:numPr>
          <w:ilvl w:val="0"/>
          <w:numId w:val="2"/>
        </w:numPr>
      </w:pPr>
      <w:r>
        <w:t xml:space="preserve">P.2.9 Tasa de caída de pacientes en servicios de apoyo diagnóstico</w:t>
      </w:r>
    </w:p>
    <w:p>
      <w:pPr>
        <w:pStyle w:val="ListParagraph"/>
        <w:numPr>
          <w:ilvl w:val="0"/>
          <w:numId w:val="2"/>
        </w:numPr>
      </w:pPr>
      <w:r>
        <w:t xml:space="preserve">P.2.10 Proporción de eventos adversos por medicamentos en hospitalización</w:t>
      </w:r>
    </w:p>
    <w:p>
      <w:pPr>
        <w:pStyle w:val="ListParagraph"/>
        <w:numPr>
          <w:ilvl w:val="0"/>
          <w:numId w:val="2"/>
        </w:numPr>
      </w:pPr>
      <w:r>
        <w:t xml:space="preserve">P.2.13 Proporción de reingreso a urgencias en menos de 72 horas</w:t>
      </w:r>
    </w:p>
    <w:p>
      <w:pPr>
        <w:pStyle w:val="ListParagraph"/>
        <w:numPr>
          <w:ilvl w:val="0"/>
          <w:numId w:val="2"/>
        </w:numPr>
      </w:pPr>
      <w:r>
        <w:t xml:space="preserve">P.2.14 Tasa de reingreso hospitalario en menos de 15 días</w:t>
      </w:r>
    </w:p>
    <w:p>
      <w:pPr>
        <w:pStyle w:val="Heading3"/>
      </w:pPr>
      <w:r>
        <w:t xml:space="preserve">5.1.3 Dominio de Experiencia de la Atención</w:t>
      </w:r>
    </w:p>
    <w:p>
      <w:pPr>
        <w:pStyle w:val="ListParagraph"/>
        <w:numPr>
          <w:ilvl w:val="0"/>
          <w:numId w:val="2"/>
        </w:numPr>
      </w:pPr>
      <w:r>
        <w:t xml:space="preserve">P.3.1 a P.3.9 Tiempos de espera para asignación de citas (Medicina General, Odontología, Especialidades, Imagenología)</w:t>
      </w:r>
    </w:p>
    <w:p>
      <w:pPr>
        <w:pStyle w:val="ListParagraph"/>
        <w:numPr>
          <w:ilvl w:val="0"/>
          <w:numId w:val="2"/>
        </w:numPr>
      </w:pPr>
      <w:r>
        <w:t xml:space="preserve">P.3.10 Tiempo de espera para atención de Triage II en urgencias</w:t>
      </w:r>
    </w:p>
    <w:p>
      <w:pPr>
        <w:pStyle w:val="ListParagraph"/>
        <w:numPr>
          <w:ilvl w:val="0"/>
          <w:numId w:val="2"/>
        </w:numPr>
      </w:pPr>
      <w:r>
        <w:t xml:space="preserve">P.3.11 a P.3.13 Tiempos de espera para cirugías (Cataratas, Reemplazo de cadera, Revascularización)</w:t>
      </w:r>
    </w:p>
    <w:p>
      <w:pPr>
        <w:pStyle w:val="ListParagraph"/>
        <w:numPr>
          <w:ilvl w:val="0"/>
          <w:numId w:val="2"/>
        </w:numPr>
      </w:pPr>
      <w:r>
        <w:t xml:space="preserve">P.3.14 Proporción de satisfacción global de usuarios</w:t>
      </w:r>
    </w:p>
    <w:p>
      <w:pPr>
        <w:pStyle w:val="ListParagraph"/>
        <w:numPr>
          <w:ilvl w:val="0"/>
          <w:numId w:val="2"/>
        </w:numPr>
      </w:pPr>
      <w:r>
        <w:t xml:space="preserve">P.3.15 Proporción de usuarios que recomendaría la IPS</w:t>
      </w:r>
    </w:p>
    <w:p>
      <w:pPr>
        <w:pStyle w:val="Heading2"/>
      </w:pPr>
      <w:r>
        <w:t xml:space="preserve">5.2 Funcionalidades del Módulo de Indicadores</w:t>
      </w:r>
    </w:p>
    <w:p>
      <w:pPr>
        <w:pStyle w:val="ListParagraph"/>
        <w:numPr>
          <w:ilvl w:val="0"/>
          <w:numId w:val="4"/>
        </w:numPr>
      </w:pPr>
      <w:r>
        <w:t xml:space="preserve">Cálculo automático de indicadores desde fuentes de datos (HIS, facturación, laboratorio)</w:t>
      </w:r>
    </w:p>
    <w:p>
      <w:pPr>
        <w:pStyle w:val="ListParagraph"/>
        <w:numPr>
          <w:ilvl w:val="0"/>
          <w:numId w:val="4"/>
        </w:numPr>
      </w:pPr>
      <w:r>
        <w:t xml:space="preserve">Fichas técnicas de indicadores con metodología de cálculo</w:t>
      </w:r>
    </w:p>
    <w:p>
      <w:pPr>
        <w:pStyle w:val="ListParagraph"/>
        <w:numPr>
          <w:ilvl w:val="0"/>
          <w:numId w:val="4"/>
        </w:numPr>
      </w:pPr>
      <w:r>
        <w:t xml:space="preserve">Dashboard de seguimiento con semáforos (verde/amarillo/rojo)</w:t>
      </w:r>
    </w:p>
    <w:p>
      <w:pPr>
        <w:pStyle w:val="ListParagraph"/>
        <w:numPr>
          <w:ilvl w:val="0"/>
          <w:numId w:val="4"/>
        </w:numPr>
      </w:pPr>
      <w:r>
        <w:t xml:space="preserve">Comparativo histórico y tendencias</w:t>
      </w:r>
    </w:p>
    <w:p>
      <w:pPr>
        <w:pStyle w:val="ListParagraph"/>
        <w:numPr>
          <w:ilvl w:val="0"/>
          <w:numId w:val="4"/>
        </w:numPr>
      </w:pPr>
      <w:r>
        <w:t xml:space="preserve">Benchmarking con datos del Observatorio Nacional de Calidad</w:t>
      </w:r>
    </w:p>
    <w:p>
      <w:pPr>
        <w:pStyle w:val="ListParagraph"/>
        <w:numPr>
          <w:ilvl w:val="0"/>
          <w:numId w:val="4"/>
        </w:numPr>
      </w:pPr>
      <w:r>
        <w:t xml:space="preserve">Generación de archivos para reporte a PISIS/SISPRO</w:t>
      </w:r>
    </w:p>
    <w:p>
      <w:pPr>
        <w:pStyle w:val="ListParagraph"/>
        <w:numPr>
          <w:ilvl w:val="0"/>
          <w:numId w:val="4"/>
        </w:numPr>
      </w:pPr>
      <w:r>
        <w:t xml:space="preserve">Alertas de fechas de reporte (semestral)</w:t>
      </w:r>
    </w:p>
    <w:p>
      <w:pPr>
        <w:pStyle w:val="ListParagraph"/>
        <w:numPr>
          <w:ilvl w:val="0"/>
          <w:numId w:val="4"/>
        </w:numPr>
      </w:pPr>
      <w:r>
        <w:t xml:space="preserve">Validación de datos antes de envío</w:t>
      </w:r>
    </w:p>
    <w:p>
      <w:r>
        <w:br w:type="page"/>
      </w:r>
    </w:p>
    <w:p>
      <w:pPr>
        <w:pStyle w:val="Heading1"/>
      </w:pPr>
      <w:r>
        <w:t xml:space="preserve">6. MÓDULO DE PQRS - ATENCIÓN AL USUARIO</w:t>
      </w:r>
    </w:p>
    <w:p>
      <w:pPr>
        <w:spacing w:after="200"/>
      </w:pPr>
      <w:r>
        <w:t xml:space="preserve">Sistema de gestión de Peticiones, Quejas, Reclamos, Sugerencias y Denuncias conforme a la Ley 1755 de 2015:</w:t>
      </w:r>
    </w:p>
    <w:p>
      <w:pPr>
        <w:pStyle w:val="Heading2"/>
      </w:pPr>
      <w:r>
        <w:t xml:space="preserve">6.1 Gestión de PQRS</w:t>
      </w:r>
    </w:p>
    <w:p>
      <w:pPr>
        <w:pStyle w:val="ListParagraph"/>
        <w:numPr>
          <w:ilvl w:val="0"/>
          <w:numId w:val="2"/>
        </w:numPr>
      </w:pPr>
      <w:r>
        <w:t xml:space="preserve">Registro multicanal (presencial, telefónico, web, buzón, correo electrónico)</w:t>
      </w:r>
    </w:p>
    <w:p>
      <w:pPr>
        <w:pStyle w:val="ListParagraph"/>
        <w:numPr>
          <w:ilvl w:val="0"/>
          <w:numId w:val="2"/>
        </w:numPr>
      </w:pPr>
      <w:r>
        <w:t xml:space="preserve">Clasificación automática por tipo (Petición, Queja, Reclamo, Sugerencia, Denuncia, Felicitación)</w:t>
      </w:r>
    </w:p>
    <w:p>
      <w:pPr>
        <w:pStyle w:val="ListParagraph"/>
        <w:numPr>
          <w:ilvl w:val="0"/>
          <w:numId w:val="2"/>
        </w:numPr>
      </w:pPr>
      <w:r>
        <w:t xml:space="preserve">Asignación automática según área responsable</w:t>
      </w:r>
    </w:p>
    <w:p>
      <w:pPr>
        <w:pStyle w:val="ListParagraph"/>
        <w:numPr>
          <w:ilvl w:val="0"/>
          <w:numId w:val="2"/>
        </w:numPr>
      </w:pPr>
      <w:r>
        <w:t xml:space="preserve">Control de tiempos de respuesta según normativa:</w:t>
      </w:r>
    </w:p>
    <w:p>
      <w:pPr>
        <w:pStyle w:val="ListParagraph"/>
        <w:numPr>
          <w:ilvl w:val="0"/>
          <w:numId w:val="5"/>
        </w:numPr>
      </w:pPr>
      <w:r>
        <w:t xml:space="preserve">Petición general: 15 días hábiles</w:t>
      </w:r>
    </w:p>
    <w:p>
      <w:pPr>
        <w:pStyle w:val="ListParagraph"/>
        <w:numPr>
          <w:ilvl w:val="0"/>
          <w:numId w:val="5"/>
        </w:numPr>
      </w:pPr>
      <w:r>
        <w:t xml:space="preserve">Petición de información: 10 días hábiles</w:t>
      </w:r>
    </w:p>
    <w:p>
      <w:pPr>
        <w:pStyle w:val="ListParagraph"/>
        <w:numPr>
          <w:ilvl w:val="0"/>
          <w:numId w:val="5"/>
        </w:numPr>
      </w:pPr>
      <w:r>
        <w:t xml:space="preserve">Petición de consulta: 30 días hábiles</w:t>
      </w:r>
    </w:p>
    <w:p>
      <w:pPr>
        <w:pStyle w:val="ListParagraph"/>
        <w:numPr>
          <w:ilvl w:val="0"/>
          <w:numId w:val="2"/>
        </w:numPr>
      </w:pPr>
      <w:r>
        <w:t xml:space="preserve">Escalamiento automático por vencimiento</w:t>
      </w:r>
    </w:p>
    <w:p>
      <w:pPr>
        <w:pStyle w:val="ListParagraph"/>
        <w:numPr>
          <w:ilvl w:val="0"/>
          <w:numId w:val="2"/>
        </w:numPr>
      </w:pPr>
      <w:r>
        <w:t xml:space="preserve">Notificaciones al usuario del estado de su solicitud</w:t>
      </w:r>
    </w:p>
    <w:p>
      <w:pPr>
        <w:pStyle w:val="Heading2"/>
      </w:pPr>
      <w:r>
        <w:t xml:space="preserve">6.2 Análisis y Mejoramiento</w:t>
      </w:r>
    </w:p>
    <w:p>
      <w:pPr>
        <w:pStyle w:val="ListParagraph"/>
        <w:numPr>
          <w:ilvl w:val="0"/>
          <w:numId w:val="2"/>
        </w:numPr>
      </w:pPr>
      <w:r>
        <w:t xml:space="preserve">Dashboard de PQRS por tipo, servicio, motivo</w:t>
      </w:r>
    </w:p>
    <w:p>
      <w:pPr>
        <w:pStyle w:val="ListParagraph"/>
        <w:numPr>
          <w:ilvl w:val="0"/>
          <w:numId w:val="2"/>
        </w:numPr>
      </w:pPr>
      <w:r>
        <w:t xml:space="preserve">Identificación de causas recurrentes</w:t>
      </w:r>
    </w:p>
    <w:p>
      <w:pPr>
        <w:pStyle w:val="ListParagraph"/>
        <w:numPr>
          <w:ilvl w:val="0"/>
          <w:numId w:val="2"/>
        </w:numPr>
      </w:pPr>
      <w:r>
        <w:t xml:space="preserve">Integración con planes de mejoramiento PAMEC</w:t>
      </w:r>
    </w:p>
    <w:p>
      <w:pPr>
        <w:pStyle w:val="ListParagraph"/>
        <w:numPr>
          <w:ilvl w:val="0"/>
          <w:numId w:val="2"/>
        </w:numPr>
      </w:pPr>
      <w:r>
        <w:t xml:space="preserve">Encuestas de satisfacción post-resolución</w:t>
      </w:r>
    </w:p>
    <w:p>
      <w:pPr>
        <w:pStyle w:val="ListParagraph"/>
        <w:numPr>
          <w:ilvl w:val="0"/>
          <w:numId w:val="2"/>
        </w:numPr>
      </w:pPr>
      <w:r>
        <w:t xml:space="preserve">Reportes para Superintendencia de Salud</w:t>
      </w:r>
    </w:p>
    <w:p>
      <w:pPr>
        <w:pStyle w:val="Heading2"/>
      </w:pPr>
      <w:r>
        <w:t xml:space="preserve">6.3 Gestión de Participación Social</w:t>
      </w:r>
    </w:p>
    <w:p>
      <w:pPr>
        <w:pStyle w:val="ListParagraph"/>
        <w:numPr>
          <w:ilvl w:val="0"/>
          <w:numId w:val="2"/>
        </w:numPr>
      </w:pPr>
      <w:r>
        <w:t xml:space="preserve">Registro de Asociación de Usuarios</w:t>
      </w:r>
    </w:p>
    <w:p>
      <w:pPr>
        <w:pStyle w:val="ListParagraph"/>
        <w:numPr>
          <w:ilvl w:val="0"/>
          <w:numId w:val="2"/>
        </w:numPr>
      </w:pPr>
      <w:r>
        <w:t xml:space="preserve">Actas de reuniones con representantes</w:t>
      </w:r>
    </w:p>
    <w:p>
      <w:pPr>
        <w:pStyle w:val="ListParagraph"/>
        <w:numPr>
          <w:ilvl w:val="0"/>
          <w:numId w:val="2"/>
        </w:numPr>
      </w:pPr>
      <w:r>
        <w:t xml:space="preserve">Seguimiento a compromisos</w:t>
      </w:r>
    </w:p>
    <w:p>
      <w:pPr>
        <w:pStyle w:val="ListParagraph"/>
        <w:numPr>
          <w:ilvl w:val="0"/>
          <w:numId w:val="2"/>
        </w:numPr>
      </w:pPr>
      <w:r>
        <w:t xml:space="preserve">Gestión del servicio de atención al usuario (SIAU)</w:t>
      </w:r>
    </w:p>
    <w:p>
      <w:r>
        <w:br w:type="page"/>
      </w:r>
    </w:p>
    <w:p>
      <w:pPr>
        <w:pStyle w:val="Heading1"/>
      </w:pPr>
      <w:r>
        <w:t xml:space="preserve">7. MÓDULO DE ACREDITACIÓN (SUA) - OPCIONAL</w:t>
      </w:r>
    </w:p>
    <w:p>
      <w:pPr>
        <w:spacing w:after="200"/>
      </w:pPr>
      <w:r>
        <w:t xml:space="preserve">Para IPS que busquen estándares superiores de calidad, conforme a la Resolución 5095 de 2018 (Manual de Acreditación versión 3.1):</w:t>
      </w:r>
    </w:p>
    <w:p>
      <w:pPr>
        <w:pStyle w:val="Heading2"/>
      </w:pPr>
      <w:r>
        <w:t xml:space="preserve">7.1 Grupos de Estándares de Acreditación</w:t>
      </w:r>
    </w:p>
    <w:p>
      <w:pPr>
        <w:pStyle w:val="ListParagraph"/>
        <w:numPr>
          <w:ilvl w:val="0"/>
          <w:numId w:val="2"/>
        </w:numPr>
      </w:pPr>
      <w:r>
        <w:t xml:space="preserve">Grupo 1: Proceso de Atención al Cliente Asistencial</w:t>
      </w:r>
    </w:p>
    <w:p>
      <w:pPr>
        <w:pStyle w:val="ListParagraph"/>
        <w:numPr>
          <w:ilvl w:val="0"/>
          <w:numId w:val="2"/>
        </w:numPr>
      </w:pPr>
      <w:r>
        <w:t xml:space="preserve">Grupo 2: Apoyo Administrativo a la Atención</w:t>
      </w:r>
    </w:p>
    <w:p>
      <w:pPr>
        <w:pStyle w:val="ListParagraph"/>
        <w:numPr>
          <w:ilvl w:val="0"/>
          <w:numId w:val="2"/>
        </w:numPr>
      </w:pPr>
      <w:r>
        <w:t xml:space="preserve">Grupo 3: Direccionamiento</w:t>
      </w:r>
    </w:p>
    <w:p>
      <w:pPr>
        <w:pStyle w:val="ListParagraph"/>
        <w:numPr>
          <w:ilvl w:val="0"/>
          <w:numId w:val="2"/>
        </w:numPr>
      </w:pPr>
      <w:r>
        <w:t xml:space="preserve">Grupo 4: Gerencia</w:t>
      </w:r>
    </w:p>
    <w:p>
      <w:pPr>
        <w:pStyle w:val="ListParagraph"/>
        <w:numPr>
          <w:ilvl w:val="0"/>
          <w:numId w:val="2"/>
        </w:numPr>
      </w:pPr>
      <w:r>
        <w:t xml:space="preserve">Grupo 5: Gerencia del Recurso Humano</w:t>
      </w:r>
    </w:p>
    <w:p>
      <w:pPr>
        <w:pStyle w:val="ListParagraph"/>
        <w:numPr>
          <w:ilvl w:val="0"/>
          <w:numId w:val="2"/>
        </w:numPr>
      </w:pPr>
      <w:r>
        <w:t xml:space="preserve">Grupo 6: Gerencia del Ambiente Físico</w:t>
      </w:r>
    </w:p>
    <w:p>
      <w:pPr>
        <w:pStyle w:val="ListParagraph"/>
        <w:numPr>
          <w:ilvl w:val="0"/>
          <w:numId w:val="2"/>
        </w:numPr>
      </w:pPr>
      <w:r>
        <w:t xml:space="preserve">Grupo 7: Gerencia de la Información</w:t>
      </w:r>
    </w:p>
    <w:p>
      <w:pPr>
        <w:pStyle w:val="ListParagraph"/>
        <w:numPr>
          <w:ilvl w:val="0"/>
          <w:numId w:val="2"/>
        </w:numPr>
      </w:pPr>
      <w:r>
        <w:t xml:space="preserve">Grupo 8: Mejoramiento de la Calidad</w:t>
      </w:r>
    </w:p>
    <w:p>
      <w:pPr>
        <w:pStyle w:val="Heading2"/>
      </w:pPr>
      <w:r>
        <w:t xml:space="preserve">7.2 Funcionalidades para Acreditación</w:t>
      </w:r>
    </w:p>
    <w:p>
      <w:pPr>
        <w:pStyle w:val="ListParagraph"/>
        <w:numPr>
          <w:ilvl w:val="0"/>
          <w:numId w:val="2"/>
        </w:numPr>
      </w:pPr>
      <w:r>
        <w:t xml:space="preserve">Autoevaluación por cada grupo de estándares</w:t>
      </w:r>
    </w:p>
    <w:p>
      <w:pPr>
        <w:pStyle w:val="ListParagraph"/>
        <w:numPr>
          <w:ilvl w:val="0"/>
          <w:numId w:val="2"/>
        </w:numPr>
      </w:pPr>
      <w:r>
        <w:t xml:space="preserve">Calificación con escala de 1 a 5</w:t>
      </w:r>
    </w:p>
    <w:p>
      <w:pPr>
        <w:pStyle w:val="ListParagraph"/>
        <w:numPr>
          <w:ilvl w:val="0"/>
          <w:numId w:val="2"/>
        </w:numPr>
      </w:pPr>
      <w:r>
        <w:t xml:space="preserve">Repositorio de evidencias por criterio</w:t>
      </w:r>
    </w:p>
    <w:p>
      <w:pPr>
        <w:pStyle w:val="ListParagraph"/>
        <w:numPr>
          <w:ilvl w:val="0"/>
          <w:numId w:val="2"/>
        </w:numPr>
      </w:pPr>
      <w:r>
        <w:t xml:space="preserve">Planes de mejoramiento para cierre de brechas</w:t>
      </w:r>
    </w:p>
    <w:p>
      <w:pPr>
        <w:pStyle w:val="ListParagraph"/>
        <w:numPr>
          <w:ilvl w:val="0"/>
          <w:numId w:val="2"/>
        </w:numPr>
      </w:pPr>
      <w:r>
        <w:t xml:space="preserve">Preparación de documentación para ICONTEC</w:t>
      </w:r>
    </w:p>
    <w:p>
      <w:r>
        <w:br w:type="page"/>
      </w:r>
    </w:p>
    <w:p>
      <w:pPr>
        <w:pStyle w:val="Heading1"/>
      </w:pPr>
      <w:r>
        <w:t xml:space="preserve">8. MÓDULO DE COMITÉS INSTITUCIONALES</w:t>
      </w:r>
    </w:p>
    <w:p>
      <w:pPr>
        <w:pStyle w:val="Heading2"/>
      </w:pPr>
      <w:r>
        <w:t xml:space="preserve">8.1 Gestión de Comités Obligatorios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120"/>
        <w:gridCol w:w="273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NORMATIVA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PERIODICIDAD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Comité de Seguridad del Paciente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Res. 3100/2019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Mensual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Comité de Infecciones (COVE)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Res. 3100/2019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Mensual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Comité de Farmacia y Terapéutica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Res. 3100/2019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Mensual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Comité de Historias Clínicas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Res. 3374/2000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Trimestral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Comité de Ética Hospitalaria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Ley 23/1981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Según demanda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COPASST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Res. 2013/1986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Mensual</w:t>
            </w:r>
          </w:p>
        </w:tc>
      </w:tr>
    </w:tbl>
    <w:p>
      <w:pPr>
        <w:pStyle w:val="Heading2"/>
        <w:spacing w:before="300"/>
      </w:pPr>
      <w:r>
        <w:t xml:space="preserve">8.2 Funcionalidades de Gestión de Comités</w:t>
      </w:r>
    </w:p>
    <w:p>
      <w:pPr>
        <w:pStyle w:val="ListParagraph"/>
        <w:numPr>
          <w:ilvl w:val="0"/>
          <w:numId w:val="2"/>
        </w:numPr>
      </w:pPr>
      <w:r>
        <w:t xml:space="preserve">Registro de integrantes y roles por comité</w:t>
      </w:r>
    </w:p>
    <w:p>
      <w:pPr>
        <w:pStyle w:val="ListParagraph"/>
        <w:numPr>
          <w:ilvl w:val="0"/>
          <w:numId w:val="2"/>
        </w:numPr>
      </w:pPr>
      <w:r>
        <w:t xml:space="preserve">Programación de reuniones con recordatorios</w:t>
      </w:r>
    </w:p>
    <w:p>
      <w:pPr>
        <w:pStyle w:val="ListParagraph"/>
        <w:numPr>
          <w:ilvl w:val="0"/>
          <w:numId w:val="2"/>
        </w:numPr>
      </w:pPr>
      <w:r>
        <w:t xml:space="preserve">Gestión de actas con seguimiento de compromisos</w:t>
      </w:r>
    </w:p>
    <w:p>
      <w:pPr>
        <w:pStyle w:val="ListParagraph"/>
        <w:numPr>
          <w:ilvl w:val="0"/>
          <w:numId w:val="2"/>
        </w:numPr>
      </w:pPr>
      <w:r>
        <w:t xml:space="preserve">Indicadores de gestión por comité</w:t>
      </w:r>
    </w:p>
    <w:p>
      <w:pPr>
        <w:pStyle w:val="ListParagraph"/>
        <w:numPr>
          <w:ilvl w:val="0"/>
          <w:numId w:val="2"/>
        </w:numPr>
      </w:pPr>
      <w:r>
        <w:t xml:space="preserve">Alertas de vencimiento de periodicidad</w:t>
      </w:r>
    </w:p>
    <w:p>
      <w:r>
        <w:br w:type="page"/>
      </w:r>
    </w:p>
    <w:p>
      <w:pPr>
        <w:pStyle w:val="Heading1"/>
      </w:pPr>
      <w:r>
        <w:t xml:space="preserve">9. MÓDULO DE VIGILANCIA EN SALUD PÚBLICA</w:t>
      </w:r>
    </w:p>
    <w:p>
      <w:pPr>
        <w:pStyle w:val="Heading2"/>
      </w:pPr>
      <w:r>
        <w:t xml:space="preserve">9.1 Notificación SIVIGILA</w:t>
      </w:r>
    </w:p>
    <w:p>
      <w:pPr>
        <w:pStyle w:val="ListParagraph"/>
        <w:numPr>
          <w:ilvl w:val="0"/>
          <w:numId w:val="2"/>
        </w:numPr>
      </w:pPr>
      <w:r>
        <w:t xml:space="preserve">Detección automática de eventos de notificación obligatoria</w:t>
      </w:r>
    </w:p>
    <w:p>
      <w:pPr>
        <w:pStyle w:val="ListParagraph"/>
        <w:numPr>
          <w:ilvl w:val="0"/>
          <w:numId w:val="2"/>
        </w:numPr>
      </w:pPr>
      <w:r>
        <w:t xml:space="preserve">Generación de fichas epidemiológicas</w:t>
      </w:r>
    </w:p>
    <w:p>
      <w:pPr>
        <w:pStyle w:val="ListParagraph"/>
        <w:numPr>
          <w:ilvl w:val="0"/>
          <w:numId w:val="2"/>
        </w:numPr>
      </w:pPr>
      <w:r>
        <w:t xml:space="preserve">Control de tiempos de notificación (inmediata, semanal)</w:t>
      </w:r>
    </w:p>
    <w:p>
      <w:pPr>
        <w:pStyle w:val="ListParagraph"/>
        <w:numPr>
          <w:ilvl w:val="0"/>
          <w:numId w:val="2"/>
        </w:numPr>
      </w:pPr>
      <w:r>
        <w:t xml:space="preserve">Integración con plataforma SIVIGILA del INS</w:t>
      </w:r>
    </w:p>
    <w:p>
      <w:pPr>
        <w:pStyle w:val="ListParagraph"/>
        <w:numPr>
          <w:ilvl w:val="0"/>
          <w:numId w:val="2"/>
        </w:numPr>
      </w:pPr>
      <w:r>
        <w:t xml:space="preserve">Seguimiento de casos notificados</w:t>
      </w:r>
    </w:p>
    <w:p>
      <w:pPr>
        <w:pStyle w:val="Heading2"/>
      </w:pPr>
      <w:r>
        <w:t xml:space="preserve">9.2 Farmacovigilancia y Tecnovigilancia</w:t>
      </w:r>
    </w:p>
    <w:p>
      <w:pPr>
        <w:pStyle w:val="ListParagraph"/>
        <w:numPr>
          <w:ilvl w:val="0"/>
          <w:numId w:val="2"/>
        </w:numPr>
      </w:pPr>
      <w:r>
        <w:t xml:space="preserve">Reporte de reacciones adversas a medicamentos (RAM)</w:t>
      </w:r>
    </w:p>
    <w:p>
      <w:pPr>
        <w:pStyle w:val="ListParagraph"/>
        <w:numPr>
          <w:ilvl w:val="0"/>
          <w:numId w:val="2"/>
        </w:numPr>
      </w:pPr>
      <w:r>
        <w:t xml:space="preserve">Reporte de incidentes con dispositivos médicos</w:t>
      </w:r>
    </w:p>
    <w:p>
      <w:pPr>
        <w:pStyle w:val="ListParagraph"/>
        <w:numPr>
          <w:ilvl w:val="0"/>
          <w:numId w:val="2"/>
        </w:numPr>
      </w:pPr>
      <w:r>
        <w:t xml:space="preserve">Integración con plataforma INVIMA</w:t>
      </w:r>
    </w:p>
    <w:p>
      <w:pPr>
        <w:pStyle w:val="ListParagraph"/>
        <w:numPr>
          <w:ilvl w:val="0"/>
          <w:numId w:val="2"/>
        </w:numPr>
      </w:pPr>
      <w:r>
        <w:t xml:space="preserve">Análisis de tendencias y alertas</w:t>
      </w:r>
    </w:p>
    <w:p>
      <w:r>
        <w:br w:type="page"/>
      </w:r>
    </w:p>
    <w:p>
      <w:pPr>
        <w:pStyle w:val="Heading1"/>
      </w:pPr>
      <w:r>
        <w:t xml:space="preserve">10. MÓDULO DE GESTIÓN DOCUMENTAL DE CALIDAD</w:t>
      </w:r>
    </w:p>
    <w:p>
      <w:pPr>
        <w:pStyle w:val="Heading2"/>
      </w:pPr>
      <w:r>
        <w:t xml:space="preserve">10.1 Control de Documentos</w:t>
      </w:r>
    </w:p>
    <w:p>
      <w:pPr>
        <w:pStyle w:val="ListParagraph"/>
        <w:numPr>
          <w:ilvl w:val="0"/>
          <w:numId w:val="2"/>
        </w:numPr>
      </w:pPr>
      <w:r>
        <w:t xml:space="preserve">Repositorio centralizado de políticas, manuales, guías, protocolos</w:t>
      </w:r>
    </w:p>
    <w:p>
      <w:pPr>
        <w:pStyle w:val="ListParagraph"/>
        <w:numPr>
          <w:ilvl w:val="0"/>
          <w:numId w:val="2"/>
        </w:numPr>
      </w:pPr>
      <w:r>
        <w:t xml:space="preserve">Control de versiones con histórico de cambios</w:t>
      </w:r>
    </w:p>
    <w:p>
      <w:pPr>
        <w:pStyle w:val="ListParagraph"/>
        <w:numPr>
          <w:ilvl w:val="0"/>
          <w:numId w:val="2"/>
        </w:numPr>
      </w:pPr>
      <w:r>
        <w:t xml:space="preserve">Flujo de aprobación documental (elaboración, revisión, aprobación)</w:t>
      </w:r>
    </w:p>
    <w:p>
      <w:pPr>
        <w:pStyle w:val="ListParagraph"/>
        <w:numPr>
          <w:ilvl w:val="0"/>
          <w:numId w:val="2"/>
        </w:numPr>
      </w:pPr>
      <w:r>
        <w:t xml:space="preserve">Alertas de documentos por vencer o actualizar</w:t>
      </w:r>
    </w:p>
    <w:p>
      <w:pPr>
        <w:pStyle w:val="ListParagraph"/>
        <w:numPr>
          <w:ilvl w:val="0"/>
          <w:numId w:val="2"/>
        </w:numPr>
      </w:pPr>
      <w:r>
        <w:t xml:space="preserve">Registro de socialización y capacitación</w:t>
      </w:r>
    </w:p>
    <w:p>
      <w:pPr>
        <w:pStyle w:val="ListParagraph"/>
        <w:numPr>
          <w:ilvl w:val="0"/>
          <w:numId w:val="2"/>
        </w:numPr>
      </w:pPr>
      <w:r>
        <w:t xml:space="preserve">Listado maestro de documentos actualizado</w:t>
      </w:r>
    </w:p>
    <w:p>
      <w:pPr>
        <w:pStyle w:val="Heading2"/>
      </w:pPr>
      <w:r>
        <w:t xml:space="preserve">10.2 Tipos de Documentos a Gestionar</w:t>
      </w:r>
    </w:p>
    <w:p>
      <w:pPr>
        <w:pStyle w:val="ListParagraph"/>
        <w:numPr>
          <w:ilvl w:val="0"/>
          <w:numId w:val="2"/>
        </w:numPr>
      </w:pPr>
      <w:r>
        <w:t xml:space="preserve">Política de Seguridad del Paciente</w:t>
      </w:r>
    </w:p>
    <w:p>
      <w:pPr>
        <w:pStyle w:val="ListParagraph"/>
        <w:numPr>
          <w:ilvl w:val="0"/>
          <w:numId w:val="2"/>
        </w:numPr>
      </w:pPr>
      <w:r>
        <w:t xml:space="preserve">Manual de Calidad</w:t>
      </w:r>
    </w:p>
    <w:p>
      <w:pPr>
        <w:pStyle w:val="ListParagraph"/>
        <w:numPr>
          <w:ilvl w:val="0"/>
          <w:numId w:val="2"/>
        </w:numPr>
      </w:pPr>
      <w:r>
        <w:t xml:space="preserve">Guías de Práctica Clínica</w:t>
      </w:r>
    </w:p>
    <w:p>
      <w:pPr>
        <w:pStyle w:val="ListParagraph"/>
        <w:numPr>
          <w:ilvl w:val="0"/>
          <w:numId w:val="2"/>
        </w:numPr>
      </w:pPr>
      <w:r>
        <w:t xml:space="preserve">Protocolos de atención</w:t>
      </w:r>
    </w:p>
    <w:p>
      <w:pPr>
        <w:pStyle w:val="ListParagraph"/>
        <w:numPr>
          <w:ilvl w:val="0"/>
          <w:numId w:val="2"/>
        </w:numPr>
      </w:pPr>
      <w:r>
        <w:t xml:space="preserve">Procedimientos operativos estandarizados (POE)</w:t>
      </w:r>
    </w:p>
    <w:p>
      <w:pPr>
        <w:pStyle w:val="ListParagraph"/>
        <w:numPr>
          <w:ilvl w:val="0"/>
          <w:numId w:val="2"/>
        </w:numPr>
      </w:pPr>
      <w:r>
        <w:t xml:space="preserve">Instructivos y formatos</w:t>
      </w:r>
    </w:p>
    <w:p>
      <w:pPr>
        <w:pStyle w:val="ListParagraph"/>
        <w:numPr>
          <w:ilvl w:val="0"/>
          <w:numId w:val="2"/>
        </w:numPr>
      </w:pPr>
      <w:r>
        <w:t xml:space="preserve">Plan de Gestión Integral de Residuos (PGIRH)</w:t>
      </w:r>
    </w:p>
    <w:p>
      <w:r>
        <w:br w:type="page"/>
      </w:r>
    </w:p>
    <w:p>
      <w:pPr>
        <w:pStyle w:val="Heading1"/>
      </w:pPr>
      <w:r>
        <w:t xml:space="preserve">11. REPORTES, DASHBOARDS E INTEGRACIONES</w:t>
      </w:r>
    </w:p>
    <w:p>
      <w:pPr>
        <w:pStyle w:val="Heading2"/>
      </w:pPr>
      <w:r>
        <w:t xml:space="preserve">11.1 Tableros de Control (Dashboards)</w:t>
      </w:r>
    </w:p>
    <w:p>
      <w:pPr>
        <w:pStyle w:val="ListParagraph"/>
        <w:numPr>
          <w:ilvl w:val="0"/>
          <w:numId w:val="2"/>
        </w:numPr>
      </w:pPr>
      <w:r>
        <w:t xml:space="preserve">Dashboard ejecutivo de calidad institucional</w:t>
      </w:r>
    </w:p>
    <w:p>
      <w:pPr>
        <w:pStyle w:val="ListParagraph"/>
        <w:numPr>
          <w:ilvl w:val="0"/>
          <w:numId w:val="2"/>
        </w:numPr>
      </w:pPr>
      <w:r>
        <w:t xml:space="preserve">Tablero de indicadores de habilitación por servicio</w:t>
      </w:r>
    </w:p>
    <w:p>
      <w:pPr>
        <w:pStyle w:val="ListParagraph"/>
        <w:numPr>
          <w:ilvl w:val="0"/>
          <w:numId w:val="2"/>
        </w:numPr>
      </w:pPr>
      <w:r>
        <w:t xml:space="preserve">Tablero de seguridad del paciente (eventos, riesgos)</w:t>
      </w:r>
    </w:p>
    <w:p>
      <w:pPr>
        <w:pStyle w:val="ListParagraph"/>
        <w:numPr>
          <w:ilvl w:val="0"/>
          <w:numId w:val="2"/>
        </w:numPr>
      </w:pPr>
      <w:r>
        <w:t xml:space="preserve">Tablero de indicadores Resolución 256</w:t>
      </w:r>
    </w:p>
    <w:p>
      <w:pPr>
        <w:pStyle w:val="ListParagraph"/>
        <w:numPr>
          <w:ilvl w:val="0"/>
          <w:numId w:val="2"/>
        </w:numPr>
      </w:pPr>
      <w:r>
        <w:t xml:space="preserve">Tablero de PQRS con análisis de tendencias</w:t>
      </w:r>
    </w:p>
    <w:p>
      <w:pPr>
        <w:pStyle w:val="ListParagraph"/>
        <w:numPr>
          <w:ilvl w:val="0"/>
          <w:numId w:val="2"/>
        </w:numPr>
      </w:pPr>
      <w:r>
        <w:t xml:space="preserve">Tablero de avance PAMEC</w:t>
      </w:r>
    </w:p>
    <w:p>
      <w:pPr>
        <w:pStyle w:val="Heading2"/>
      </w:pPr>
      <w:r>
        <w:t xml:space="preserve">11.2 Integraciones Obligatorias</w:t>
      </w:r>
    </w:p>
    <w:p>
      <w:pPr>
        <w:pStyle w:val="ListParagraph"/>
        <w:numPr>
          <w:ilvl w:val="0"/>
          <w:numId w:val="6"/>
        </w:numPr>
      </w:pPr>
      <w:r>
        <w:t xml:space="preserve">REPS (Registro Especial de Prestadores de Servicios de Salud)</w:t>
      </w:r>
    </w:p>
    <w:p>
      <w:pPr>
        <w:pStyle w:val="ListParagraph"/>
        <w:numPr>
          <w:ilvl w:val="0"/>
          <w:numId w:val="6"/>
        </w:numPr>
      </w:pPr>
      <w:r>
        <w:t xml:space="preserve">SISPRO/PISIS (Reporte de indicadores Res. 256)</w:t>
      </w:r>
    </w:p>
    <w:p>
      <w:pPr>
        <w:pStyle w:val="ListParagraph"/>
        <w:numPr>
          <w:ilvl w:val="0"/>
          <w:numId w:val="6"/>
        </w:numPr>
      </w:pPr>
      <w:r>
        <w:t xml:space="preserve">SIVIGILA (Vigilancia epidemiológica)</w:t>
      </w:r>
    </w:p>
    <w:p>
      <w:pPr>
        <w:pStyle w:val="ListParagraph"/>
        <w:numPr>
          <w:ilvl w:val="0"/>
          <w:numId w:val="6"/>
        </w:numPr>
      </w:pPr>
      <w:r>
        <w:t xml:space="preserve">RETHUS (Verificación de talento humano)</w:t>
      </w:r>
    </w:p>
    <w:p>
      <w:pPr>
        <w:pStyle w:val="ListParagraph"/>
        <w:numPr>
          <w:ilvl w:val="0"/>
          <w:numId w:val="6"/>
        </w:numPr>
      </w:pPr>
      <w:r>
        <w:t xml:space="preserve">INVIMA (Consulta de registros sanitarios)</w:t>
      </w:r>
    </w:p>
    <w:p>
      <w:pPr>
        <w:pStyle w:val="ListParagraph"/>
        <w:numPr>
          <w:ilvl w:val="0"/>
          <w:numId w:val="6"/>
        </w:numPr>
      </w:pPr>
      <w:r>
        <w:t xml:space="preserve">Cuenta de Alto Costo (Reportes obligatorios)</w:t>
      </w:r>
    </w:p>
    <w:p>
      <w:pPr>
        <w:pStyle w:val="Heading2"/>
      </w:pPr>
      <w:r>
        <w:t xml:space="preserve">11.3 Generación de Reportes</w:t>
      </w:r>
    </w:p>
    <w:p>
      <w:pPr>
        <w:pStyle w:val="ListParagraph"/>
        <w:numPr>
          <w:ilvl w:val="0"/>
          <w:numId w:val="2"/>
        </w:numPr>
      </w:pPr>
      <w:r>
        <w:t xml:space="preserve">Informe de autoevaluación de habilitación</w:t>
      </w:r>
    </w:p>
    <w:p>
      <w:pPr>
        <w:pStyle w:val="ListParagraph"/>
        <w:numPr>
          <w:ilvl w:val="0"/>
          <w:numId w:val="2"/>
        </w:numPr>
      </w:pPr>
      <w:r>
        <w:t xml:space="preserve">Informe PAMEC anual</w:t>
      </w:r>
    </w:p>
    <w:p>
      <w:pPr>
        <w:pStyle w:val="ListParagraph"/>
        <w:numPr>
          <w:ilvl w:val="0"/>
          <w:numId w:val="2"/>
        </w:numPr>
      </w:pPr>
      <w:r>
        <w:t xml:space="preserve">Informe de gestión de seguridad del paciente</w:t>
      </w:r>
    </w:p>
    <w:p>
      <w:pPr>
        <w:pStyle w:val="ListParagraph"/>
        <w:numPr>
          <w:ilvl w:val="0"/>
          <w:numId w:val="2"/>
        </w:numPr>
      </w:pPr>
      <w:r>
        <w:t xml:space="preserve">Informe de indicadores de calidad (semestral)</w:t>
      </w:r>
    </w:p>
    <w:p>
      <w:pPr>
        <w:pStyle w:val="ListParagraph"/>
        <w:numPr>
          <w:ilvl w:val="0"/>
          <w:numId w:val="2"/>
        </w:numPr>
      </w:pPr>
      <w:r>
        <w:t xml:space="preserve">Informe de PQRS (trimestral)</w:t>
      </w:r>
    </w:p>
    <w:p>
      <w:pPr>
        <w:pStyle w:val="ListParagraph"/>
        <w:numPr>
          <w:ilvl w:val="0"/>
          <w:numId w:val="2"/>
        </w:numPr>
      </w:pPr>
      <w:r>
        <w:t xml:space="preserve">Actas de comités institucionales</w:t>
      </w:r>
    </w:p>
    <w:p>
      <w:pPr>
        <w:pStyle w:val="ListParagraph"/>
        <w:numPr>
          <w:ilvl w:val="0"/>
          <w:numId w:val="2"/>
        </w:numPr>
      </w:pPr>
      <w:r>
        <w:t xml:space="preserve">Reportes para Secretaría de Salud y Supersalud</w:t>
      </w:r>
    </w:p>
    <w:p>
      <w:r>
        <w:br w:type="page"/>
      </w:r>
    </w:p>
    <w:p>
      <w:pPr>
        <w:pStyle w:val="Heading1"/>
      </w:pPr>
      <w:r>
        <w:t xml:space="preserve">12. RESUMEN DE FUNCIONALIDADES CRÍTICAS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OBLIGATORIEDAD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Habilitación (SUH)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color w:val="C00000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Visita Secretaría de Salud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PAMEC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Auditoría Secretaría de Salud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Indicadores (SIC)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color w:val="C00000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Reporte semestral SISPRO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Seguridad del Paciente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Incluido en habilitación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PQRS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color w:val="C00000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Supersalud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Acreditación (SUA)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VOLUNTARIO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Evaluación ICONTEC</w:t>
            </w:r>
          </w:p>
        </w:tc>
      </w:tr>
    </w:tbl>
    <w:p>
      <w:pPr>
        <w:spacing w:before="400" w:after="200"/>
      </w:pPr>
      <w:r>
        <w:rPr>
          <w:b/>
          <w:bCs/>
        </w:rPr>
        <w:t xml:space="preserve">Nota importante: </w:t>
      </w:r>
      <w:r>
        <w:t xml:space="preserve">Este documento se basa en la normatividad vigente a diciembre de 2025. La Resolución 3100 de 2019 ha sido modificada por las Resoluciones 544 de 2023 y 465 de 2025. Se recomienda verificar actualizaciones normativas periódicamente en el portal del Ministerio de Salud y Protección Social.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Fin del Documento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Requerimientos Módulo de Calidad IPS -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2025-12-17T03:04:09.161Z</dcterms:created>
  <dcterms:modified xsi:type="dcterms:W3CDTF">2025-12-17T03:04:09.162Z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