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80" w:lineRule="auto"/>
        <w:jc w:val="center"/>
        <w:rPr>
          <w:rFonts w:ascii="Arial" w:cs="Arial" w:eastAsia="Arial" w:hAnsi="Arial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Rule="auto"/>
        <w:jc w:val="center"/>
        <w:rPr>
          <w:rFonts w:ascii="Arial" w:cs="Arial" w:eastAsia="Arial" w:hAnsi="Arial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80" w:lineRule="auto"/>
        <w:jc w:val="center"/>
        <w:rPr>
          <w:rFonts w:ascii="Century Gothic" w:cs="Century Gothic" w:eastAsia="Century Gothic" w:hAnsi="Century Gothic"/>
          <w:b w:val="1"/>
          <w:sz w:val="96"/>
          <w:szCs w:val="96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96"/>
          <w:szCs w:val="96"/>
          <w:rtl w:val="0"/>
        </w:rPr>
        <w:t xml:space="preserve">PROCEDIMIENTO DE DESVINCULACIÓN</w:t>
      </w:r>
    </w:p>
    <w:p w:rsidR="00000000" w:rsidDel="00000000" w:rsidP="00000000" w:rsidRDefault="00000000" w:rsidRPr="00000000" w14:paraId="00000004">
      <w:pPr>
        <w:spacing w:before="280" w:lineRule="auto"/>
        <w:jc w:val="center"/>
        <w:rPr>
          <w:rFonts w:ascii="Arial" w:cs="Arial" w:eastAsia="Arial" w:hAnsi="Arial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80" w:lineRule="auto"/>
        <w:jc w:val="center"/>
        <w:rPr>
          <w:rFonts w:ascii="Arial" w:cs="Arial" w:eastAsia="Arial" w:hAnsi="Arial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jc w:val="center"/>
        <w:rPr>
          <w:rFonts w:ascii="Arial" w:cs="Arial" w:eastAsia="Arial" w:hAnsi="Arial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jc w:val="center"/>
        <w:rPr>
          <w:rFonts w:ascii="Arial" w:cs="Arial" w:eastAsia="Arial" w:hAnsi="Arial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80" w:lineRule="auto"/>
        <w:jc w:val="center"/>
        <w:rPr>
          <w:rFonts w:ascii="Century Gothic" w:cs="Century Gothic" w:eastAsia="Century Gothic" w:hAnsi="Century Gothic"/>
          <w:sz w:val="90"/>
          <w:szCs w:val="9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TABLA DE CONTENIDO</w:t>
      </w:r>
    </w:p>
    <w:p w:rsidR="00000000" w:rsidDel="00000000" w:rsidP="00000000" w:rsidRDefault="00000000" w:rsidRPr="00000000" w14:paraId="0000000A">
      <w:pPr>
        <w:spacing w:before="280" w:lineRule="auto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Alcance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Definiciones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Etapas para el proceso de desvinculación</w:t>
      </w:r>
    </w:p>
    <w:p w:rsidR="00000000" w:rsidDel="00000000" w:rsidP="00000000" w:rsidRDefault="00000000" w:rsidRPr="00000000" w14:paraId="0000000F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8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280" w:lineRule="auto"/>
        <w:ind w:left="720" w:hanging="360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spacing w:before="28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Establecer los lineamientos, actividades, responsabilidades necesarias para dar un manejo adecuado de la desvinculación o el retiro de los empleados de ENDOCRINOLOGY &amp; HEALTH, de conformidad con los parámetros establecidos y la normatividad vigente.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80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spacing w:before="28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Inicia desde la decisión de desvinculación del empleado según sea el caso correspondiente, entrega del cargo por su parte, hasta la liquidación y autorización de pago de prestaciones sociales correspondientes a las que tenga derecho.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80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DEFINICIONES</w:t>
      </w:r>
    </w:p>
    <w:p w:rsidR="00000000" w:rsidDel="00000000" w:rsidP="00000000" w:rsidRDefault="00000000" w:rsidRPr="00000000" w14:paraId="0000001E">
      <w:pPr>
        <w:spacing w:before="28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RENUNCIA: Toda persona que sirva un empleo de voluntaria aceptación puede renunciar libremente en cualquier tiempo. La renuncia se produce cuando el empleado manifiesta por escrito, de forma espontánea e inequívoca, su decisión de separarse del servicio. </w:t>
      </w:r>
    </w:p>
    <w:p w:rsidR="00000000" w:rsidDel="00000000" w:rsidP="00000000" w:rsidRDefault="00000000" w:rsidRPr="00000000" w14:paraId="0000001F">
      <w:pPr>
        <w:spacing w:before="28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SANCIÓN DISCIPLINARIA: Las sanciones disciplinarias son facultades del empleador, y su función principal además de la punitiva es corregir la mala conducta del empleado, materializada en faltas o incumplimientos a las obligaciones contractuales emergentes de la ley de contrato de trabajo.</w:t>
      </w:r>
    </w:p>
    <w:p w:rsidR="00000000" w:rsidDel="00000000" w:rsidP="00000000" w:rsidRDefault="00000000" w:rsidRPr="00000000" w14:paraId="00000020">
      <w:pPr>
        <w:spacing w:before="28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ABANDONO DE CARGO: Abandonar el cargo, o el servicio, implica la dejación voluntaria definitiva y no transitoria de los deberes y responsabilidades que exige el empleo del cual es titular el empleado.</w:t>
      </w:r>
    </w:p>
    <w:p w:rsidR="00000000" w:rsidDel="00000000" w:rsidP="00000000" w:rsidRDefault="00000000" w:rsidRPr="00000000" w14:paraId="00000021">
      <w:pPr>
        <w:spacing w:before="28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ENTREGA DEL CARGO: Documento con el cual un empleado hace la entrega formal del cargo al jefe inmediato o a quien éste designe; en caso de retiro definitivo.El acta se debe elaborar según el cargo actual desempeñado y contiene informe de: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280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Actividades pendientes y estado actual.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Gestión documental y detalle de los archivos físicos que se entregan con su ubicación (Entrega los documentos magnéticos e impresos) documentación adicional, como lo son papeles de trabajo, material de consulta, archivos en medio magnético, copias de seguridad, entre otros.</w:t>
      </w:r>
    </w:p>
    <w:p w:rsidR="00000000" w:rsidDel="00000000" w:rsidP="00000000" w:rsidRDefault="00000000" w:rsidRPr="00000000" w14:paraId="00000024">
      <w:pPr>
        <w:spacing w:before="280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PAZ Y SALVO: Constancia de los elementos que se entregaron inicialmente para cumplimiento de las funciones.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280" w:lineRule="auto"/>
        <w:ind w:left="720" w:hanging="360"/>
        <w:jc w:val="both"/>
        <w:rPr>
          <w:rFonts w:ascii="Century Gothic" w:cs="Century Gothic" w:eastAsia="Century Gothic" w:hAnsi="Century Gothic"/>
          <w:b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2"/>
          <w:szCs w:val="22"/>
          <w:rtl w:val="0"/>
        </w:rPr>
        <w:t xml:space="preserve">ETAPAS DEL PROCESO DE DESVINCULACIÓN</w:t>
      </w:r>
    </w:p>
    <w:p w:rsidR="00000000" w:rsidDel="00000000" w:rsidP="00000000" w:rsidRDefault="00000000" w:rsidRPr="00000000" w14:paraId="00000026">
      <w:pPr>
        <w:spacing w:before="280" w:lineRule="auto"/>
        <w:ind w:left="720" w:firstLine="0"/>
        <w:jc w:val="both"/>
        <w:rPr>
          <w:rFonts w:ascii="Century Gothic" w:cs="Century Gothic" w:eastAsia="Century Gothic" w:hAnsi="Century Gothic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3540"/>
        <w:gridCol w:w="5055"/>
        <w:tblGridChange w:id="0">
          <w:tblGrid>
            <w:gridCol w:w="945"/>
            <w:gridCol w:w="3540"/>
            <w:gridCol w:w="5055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ETAPA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Recibir documentos que sustentan la causal del retiro   y verificar la causa de la terminación de la desvinculación laboral.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El área de Talento Humano recibe la renuncia del empleado/a y/o la comunicación por parte de jefe inmediato que sustenta o que comunica la terminación de la relación laboral, verifica que cumpla con los requisitos para la terminación de la desvinculación del empleado.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Proyectar, revisar y firmar la terminación de contrato laboral del empleado.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 proyecta, se revisa y se remite a firma del gerente conforme a la causa de desvinculación respectiva.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Comunicar y/o notificar la desvinculación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 notifica el retiro al empleado formalizando la desvinculación, la entrega examen médico ocupacional de retiro; Para los empleados con personal a cargo, deberán realizar la evaluación parcial eventual, antes de retirarse del empleo.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Informar a las diferentes áreas sobre la desvinculación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Envía correo electrónico a los jefes de las diferentes áreas, líderes de procesos notificando la renuncia o desvinculación del empleado, para que se adelanten los trámites pertinentes.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Realizar entrega de cargo.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Relaciona las actividades pendientes en el acta de entrega del cargo y realiza la entrega al jefe inmediato o a la persona que se asigne para tal fin.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Diligenciar y entregar formatos de desvinculación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Entregar al área de talento humano los siguientes anexos debidamente diligenciados y firmados: Paz y salvo de inventarios y por todo concepto el cual es entregado en el área de talento humano para su respectivo archivo en la historia laboral del empleado.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Examen médico de Retiro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Asistir en el horario, y las fechas estipuladas (5 días hábiles después del retiro) y lugar indicado para practicarse el examen médico de retiro.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Incluir novedad en nómina y liquidar prestaciones sociales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Realiza la liquidación de las prestaciones sociales, y se realiza la novedad de retiro para posterior pago de las acreencias laborales. Entrega para revisión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Notificar liquidación al ex exempleado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Notificar a través de correo electrónico o notificación personal al exempleado para que se acerque a realizar la aceptación de la misma.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Legalizar retiros ante entidades de seguridad 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Protocolizada la desvinculación, legalizar el retiro del funcionario ante las entidades que administran el sistema de seguridad social integral.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Actualizar la historia laboral del empleado, Pasa a carpetas Inactivas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Relaciona la documentación pertinente con la desvinculación en el formato de historia laboral y la incorpora al expediente del empleado con los respectivos reportes de retiro.</w:t>
            </w:r>
          </w:p>
        </w:tc>
      </w:tr>
    </w:tbl>
    <w:p w:rsidR="00000000" w:rsidDel="00000000" w:rsidP="00000000" w:rsidRDefault="00000000" w:rsidRPr="00000000" w14:paraId="0000004B">
      <w:pPr>
        <w:spacing w:before="28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0" w:w="12240" w:orient="portrait"/>
      <w:pgMar w:bottom="1417" w:top="1587" w:left="1701" w:right="1701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right="360"/>
      <w:rPr>
        <w:color w:val="000000"/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widowControl w:val="0"/>
      <w:spacing w:line="276" w:lineRule="auto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tbl>
    <w:tblPr>
      <w:tblStyle w:val="Table2"/>
      <w:tblW w:w="9300.0" w:type="dxa"/>
      <w:jc w:val="left"/>
      <w:tblInd w:w="-1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90"/>
      <w:gridCol w:w="4215"/>
      <w:gridCol w:w="2595"/>
      <w:tblGridChange w:id="0">
        <w:tblGrid>
          <w:gridCol w:w="2490"/>
          <w:gridCol w:w="4215"/>
          <w:gridCol w:w="2595"/>
        </w:tblGrid>
      </w:tblGridChange>
    </w:tblGrid>
    <w:tr>
      <w:trPr>
        <w:cantSplit w:val="0"/>
        <w:trHeight w:val="130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E">
          <w:pPr>
            <w:tabs>
              <w:tab w:val="center" w:leader="none" w:pos="4252"/>
              <w:tab w:val="right" w:leader="none" w:pos="8504"/>
            </w:tabs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493520" cy="831215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520" cy="831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2"/>
              <w:szCs w:val="2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22"/>
              <w:szCs w:val="22"/>
              <w:rtl w:val="0"/>
            </w:rPr>
            <w:t xml:space="preserve">PROCEDIMIENTO DE DESVINCULACIÓN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2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EH-D-002</w:t>
          </w:r>
        </w:p>
        <w:p w:rsidR="00000000" w:rsidDel="00000000" w:rsidP="00000000" w:rsidRDefault="00000000" w:rsidRPr="00000000" w14:paraId="00000053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Emisión: Ene 2025</w:t>
          </w:r>
        </w:p>
        <w:p w:rsidR="00000000" w:rsidDel="00000000" w:rsidP="00000000" w:rsidRDefault="00000000" w:rsidRPr="00000000" w14:paraId="00000054">
          <w:pPr>
            <w:tabs>
              <w:tab w:val="center" w:leader="none" w:pos="4252"/>
              <w:tab w:val="right" w:leader="none" w:pos="8504"/>
            </w:tabs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Versión: 2</w:t>
          </w:r>
        </w:p>
      </w:tc>
    </w:tr>
  </w:tbl>
  <w:p w:rsidR="00000000" w:rsidDel="00000000" w:rsidP="00000000" w:rsidRDefault="00000000" w:rsidRPr="00000000" w14:paraId="00000055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C518A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518A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44414"/>
  </w:style>
  <w:style w:type="paragraph" w:styleId="Piedepgina">
    <w:name w:val="footer"/>
    <w:basedOn w:val="Normal"/>
    <w:link w:val="Piedepgina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44414"/>
  </w:style>
  <w:style w:type="table" w:styleId="Tablaconcuadrcula">
    <w:name w:val="Table Grid"/>
    <w:basedOn w:val="Tablanormal"/>
    <w:uiPriority w:val="39"/>
    <w:rsid w:val="00A444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uiPriority w:val="99"/>
    <w:semiHidden w:val="1"/>
    <w:unhideWhenUsed w:val="1"/>
    <w:rsid w:val="00D47709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3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3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FYv3TXlVjYqMMkE+RmRQHc5S3g==">CgMxLjA4AHIhMTVvbFF5OTN6NXg0dEZCa2NJX05PVVZXWFlkQWhjbklT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2022-06-03T02:51:00Z</dcterms:created>
  <dc:creator>Microsoft Office User</dc:creator>
</cp:coreProperties>
</file>