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hanging="2"/>
        <w:rPr>
          <w:rFonts w:ascii="Arial" w:cs="Arial" w:eastAsia="Arial" w:hAnsi="Arial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5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5"/>
        <w:gridCol w:w="450"/>
        <w:gridCol w:w="4200"/>
        <w:gridCol w:w="510"/>
        <w:tblGridChange w:id="0">
          <w:tblGrid>
            <w:gridCol w:w="4605"/>
            <w:gridCol w:w="450"/>
            <w:gridCol w:w="4200"/>
            <w:gridCol w:w="510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4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TIPO DE REUNIÓN “Marque con una X”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Comité </w:t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0B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interna</w:t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Capacitación</w:t>
            </w:r>
          </w:p>
        </w:tc>
        <w:tc>
          <w:tcPr/>
          <w:p w:rsidR="00000000" w:rsidDel="00000000" w:rsidP="00000000" w:rsidRDefault="00000000" w:rsidRPr="00000000" w14:paraId="0000000F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Personal</w:t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Junta Directiva </w:t>
            </w:r>
          </w:p>
        </w:tc>
        <w:tc>
          <w:tcPr/>
          <w:p w:rsidR="00000000" w:rsidDel="00000000" w:rsidP="00000000" w:rsidRDefault="00000000" w:rsidRPr="00000000" w14:paraId="00000013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con cliente y/o proveedores</w:t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Visita entes reguladores</w:t>
            </w:r>
          </w:p>
        </w:tc>
        <w:tc>
          <w:tcPr/>
          <w:p w:rsidR="00000000" w:rsidDel="00000000" w:rsidP="00000000" w:rsidRDefault="00000000" w:rsidRPr="00000000" w14:paraId="00000017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8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Otro, ¿Cuál? </w:t>
            </w:r>
          </w:p>
        </w:tc>
      </w:tr>
    </w:tbl>
    <w:p w:rsidR="00000000" w:rsidDel="00000000" w:rsidP="00000000" w:rsidRDefault="00000000" w:rsidRPr="00000000" w14:paraId="0000001C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-5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5"/>
        <w:gridCol w:w="3120"/>
        <w:gridCol w:w="3420"/>
        <w:tblGridChange w:id="0">
          <w:tblGrid>
            <w:gridCol w:w="3225"/>
            <w:gridCol w:w="3120"/>
            <w:gridCol w:w="342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D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OBJETIVO DE LA REUNIÓN: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Evaluar los aspectos normativos y de calidad relacionados con la habilitación de servicios de salud, conforme a la Resolución 3100 de 2019.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FECHA:  15 DE ENE - 2025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HORA DE INICIO: 11:00 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ind w:left="0" w:right="-108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HORA FINALIZACIÓN: 11:30 AM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3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LUGAR:  PRESENCIAL EN SEDE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Ind w:w="-5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TEMAS A TRATAR: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.20898437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5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Verificación de asistencia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5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Capacitación de eventos adversos</w:t>
            </w:r>
          </w:p>
        </w:tc>
      </w:tr>
      <w:tr>
        <w:trPr>
          <w:cantSplit w:val="0"/>
          <w:trHeight w:val="284.20898437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5"/>
              </w:numPr>
              <w:ind w:left="425.19685039370086" w:right="88.93700787401599" w:hanging="283.464566929134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Evaluación y adherencia sobre temas explicados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5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Preguntas acerca del 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numPr>
                <w:ilvl w:val="0"/>
                <w:numId w:val="5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Cierre de la capacitación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45"/>
        <w:gridCol w:w="705"/>
        <w:gridCol w:w="615"/>
        <w:tblGridChange w:id="0">
          <w:tblGrid>
            <w:gridCol w:w="8445"/>
            <w:gridCol w:w="705"/>
            <w:gridCol w:w="615"/>
          </w:tblGrid>
        </w:tblGridChange>
      </w:tblGrid>
      <w:tr>
        <w:trPr>
          <w:cantSplit w:val="0"/>
          <w:trHeight w:val="17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COMPROMISOS ACTA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CUMPLIÓ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.2089843750000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6"/>
              </w:numPr>
              <w:spacing w:after="40" w:before="40" w:lineRule="auto"/>
              <w:ind w:left="720" w:hanging="2.0000000000000284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80.0" w:type="dxa"/>
        <w:jc w:val="left"/>
        <w:tblInd w:w="-5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DESARROLLO DE LA REUNION (COMENTARIOS)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numPr>
                <w:ilvl w:val="0"/>
                <w:numId w:val="8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DESARROLLO DE LA ACTIVIDAD:</w:t>
            </w:r>
          </w:p>
          <w:p w:rsidR="00000000" w:rsidDel="00000000" w:rsidP="00000000" w:rsidRDefault="00000000" w:rsidRPr="00000000" w14:paraId="0000003A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Siendo las 11:00 am del día 15 de enero del 2025, se inicia capacitación a los trabajadores dando a conocer que es:</w:t>
            </w:r>
          </w:p>
          <w:p w:rsidR="00000000" w:rsidDel="00000000" w:rsidP="00000000" w:rsidRDefault="00000000" w:rsidRPr="00000000" w14:paraId="0000003B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Importancia de conocer la entidad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3"/>
              </w:numPr>
              <w:spacing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revisaron tres aspectos importantes de la entidad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1"/>
              </w:numPr>
              <w:spacing w:line="276" w:lineRule="auto"/>
              <w:ind w:left="144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Misión: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40c28"/>
                <w:sz w:val="22"/>
                <w:szCs w:val="22"/>
                <w:rtl w:val="0"/>
              </w:rPr>
              <w:t xml:space="preserve">propósito que justifica la razón de ser de una empresa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1"/>
              </w:numPr>
              <w:spacing w:line="276" w:lineRule="auto"/>
              <w:ind w:left="144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Visión: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 objetivo que aspira a alcanzar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1"/>
              </w:numPr>
              <w:spacing w:line="276" w:lineRule="auto"/>
              <w:ind w:left="144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Valores corporativos: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40c28"/>
                <w:sz w:val="22"/>
                <w:szCs w:val="22"/>
                <w:rtl w:val="0"/>
              </w:rPr>
              <w:t xml:space="preserve"> principios éticos que guían su actividad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474747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Estándares de Calidad según la Resolución 3100 de 2019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3"/>
              </w:numPr>
              <w:spacing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revisaron los seis estándares de calidad fundamentales: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1"/>
              </w:numPr>
              <w:spacing w:line="276" w:lineRule="auto"/>
              <w:ind w:left="144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Talento Humano: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Capacitación y certificación del personal.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1"/>
              </w:numPr>
              <w:spacing w:line="276" w:lineRule="auto"/>
              <w:ind w:left="144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Infraestructura: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Espacios adecuados y seguros para la prestación de servicios.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1"/>
              </w:numPr>
              <w:spacing w:line="276" w:lineRule="auto"/>
              <w:ind w:left="144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Dotación: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Equipos necesarios y su mantenimiento.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1"/>
              </w:numPr>
              <w:spacing w:line="276" w:lineRule="auto"/>
              <w:ind w:left="144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Dispositivos Médicos, Medicamentos e Insumos: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Control de calidad y trazabilidad.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1"/>
              </w:numPr>
              <w:spacing w:line="276" w:lineRule="auto"/>
              <w:ind w:left="144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Procesos Prioritarios: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Implementación de protocolos de atención segura.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1"/>
              </w:numPr>
              <w:spacing w:line="276" w:lineRule="auto"/>
              <w:ind w:left="144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Historias Clínicas: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Registro completo y confidencial.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3457575</wp:posOffset>
                  </wp:positionH>
                  <wp:positionV relativeFrom="paragraph">
                    <wp:posOffset>209550</wp:posOffset>
                  </wp:positionV>
                  <wp:extent cx="1912144" cy="1047750"/>
                  <wp:effectExtent b="0" l="0" r="0" t="0"/>
                  <wp:wrapNone/>
                  <wp:docPr id="113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2144" cy="1047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1295400</wp:posOffset>
                  </wp:positionH>
                  <wp:positionV relativeFrom="paragraph">
                    <wp:posOffset>209550</wp:posOffset>
                  </wp:positionV>
                  <wp:extent cx="1858328" cy="1044203"/>
                  <wp:effectExtent b="0" l="0" r="0" t="0"/>
                  <wp:wrapNone/>
                  <wp:docPr id="114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8328" cy="10442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9">
            <w:pPr>
              <w:spacing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Clasificación y Manejo de Residuos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Clasificación de residuos según la normativa actual:</w:t>
            </w:r>
          </w:p>
          <w:p w:rsidR="00000000" w:rsidDel="00000000" w:rsidP="00000000" w:rsidRDefault="00000000" w:rsidRPr="00000000" w14:paraId="00000050">
            <w:pPr>
              <w:numPr>
                <w:ilvl w:val="1"/>
                <w:numId w:val="9"/>
              </w:numPr>
              <w:spacing w:line="276" w:lineRule="auto"/>
              <w:ind w:left="144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Rojo: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Residuos biosanitarios.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numPr>
                <w:ilvl w:val="1"/>
                <w:numId w:val="9"/>
              </w:numPr>
              <w:spacing w:line="276" w:lineRule="auto"/>
              <w:ind w:left="144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Negra: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Residuos no aprovechables.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numPr>
                <w:ilvl w:val="1"/>
                <w:numId w:val="9"/>
              </w:numPr>
              <w:spacing w:line="276" w:lineRule="auto"/>
              <w:ind w:left="144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Blanca: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Residuos aprovechables.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numPr>
                <w:ilvl w:val="1"/>
                <w:numId w:val="9"/>
              </w:numPr>
              <w:spacing w:line="276" w:lineRule="auto"/>
              <w:ind w:left="144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Verde: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Residuos orgánicos.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Importancia de una infraestructura adecuada para el manejo seguro de residuos.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2057400</wp:posOffset>
                  </wp:positionH>
                  <wp:positionV relativeFrom="paragraph">
                    <wp:posOffset>247650</wp:posOffset>
                  </wp:positionV>
                  <wp:extent cx="2126765" cy="1190625"/>
                  <wp:effectExtent b="0" l="0" r="0" t="0"/>
                  <wp:wrapNone/>
                  <wp:docPr id="1139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6765" cy="1190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5">
            <w:pPr>
              <w:spacing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Seguridad del Paciente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destacó la importancia de una política clara de seguridad del paciente, que incluya:</w:t>
            </w:r>
          </w:p>
          <w:p w:rsidR="00000000" w:rsidDel="00000000" w:rsidP="00000000" w:rsidRDefault="00000000" w:rsidRPr="00000000" w14:paraId="0000005D">
            <w:pPr>
              <w:numPr>
                <w:ilvl w:val="1"/>
                <w:numId w:val="3"/>
              </w:numPr>
              <w:spacing w:line="276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Identificación y análisis de riesgos.</w:t>
            </w:r>
          </w:p>
          <w:p w:rsidR="00000000" w:rsidDel="00000000" w:rsidP="00000000" w:rsidRDefault="00000000" w:rsidRPr="00000000" w14:paraId="0000005E">
            <w:pPr>
              <w:numPr>
                <w:ilvl w:val="1"/>
                <w:numId w:val="3"/>
              </w:numPr>
              <w:spacing w:line="276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Capacitación continua del personal.</w:t>
            </w:r>
          </w:p>
          <w:p w:rsidR="00000000" w:rsidDel="00000000" w:rsidP="00000000" w:rsidRDefault="00000000" w:rsidRPr="00000000" w14:paraId="0000005F">
            <w:pPr>
              <w:numPr>
                <w:ilvl w:val="1"/>
                <w:numId w:val="3"/>
              </w:numPr>
              <w:spacing w:line="276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Implementación de prácticas seguras para minimizar eventos adversos.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1995487</wp:posOffset>
                  </wp:positionH>
                  <wp:positionV relativeFrom="paragraph">
                    <wp:posOffset>257175</wp:posOffset>
                  </wp:positionV>
                  <wp:extent cx="1999186" cy="1137468"/>
                  <wp:effectExtent b="0" l="0" r="0" t="0"/>
                  <wp:wrapNone/>
                  <wp:docPr id="1135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9186" cy="11374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0">
            <w:pPr>
              <w:spacing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Eventos Adversos e Incidentes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21"/>
              </w:numPr>
              <w:spacing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resaltó la necesidad de registrar todos los eventos que ocurran para la mejora continua. Clasificación de eventos adversos,</w:t>
            </w:r>
          </w:p>
          <w:p w:rsidR="00000000" w:rsidDel="00000000" w:rsidP="00000000" w:rsidRDefault="00000000" w:rsidRPr="00000000" w14:paraId="00000068">
            <w:pPr>
              <w:numPr>
                <w:ilvl w:val="1"/>
                <w:numId w:val="13"/>
              </w:numPr>
              <w:spacing w:line="276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Evento Adverso Evitable e Inevitable.</w:t>
            </w:r>
          </w:p>
          <w:p w:rsidR="00000000" w:rsidDel="00000000" w:rsidP="00000000" w:rsidRDefault="00000000" w:rsidRPr="00000000" w14:paraId="00000069">
            <w:pPr>
              <w:numPr>
                <w:ilvl w:val="1"/>
                <w:numId w:val="13"/>
              </w:numPr>
              <w:spacing w:line="276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Evento Centinela.</w:t>
            </w:r>
          </w:p>
          <w:p w:rsidR="00000000" w:rsidDel="00000000" w:rsidP="00000000" w:rsidRDefault="00000000" w:rsidRPr="00000000" w14:paraId="0000006A">
            <w:pPr>
              <w:numPr>
                <w:ilvl w:val="1"/>
                <w:numId w:val="13"/>
              </w:numPr>
              <w:spacing w:line="276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Incidente.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2000250</wp:posOffset>
                  </wp:positionH>
                  <wp:positionV relativeFrom="paragraph">
                    <wp:posOffset>303098</wp:posOffset>
                  </wp:positionV>
                  <wp:extent cx="2000250" cy="1120140"/>
                  <wp:effectExtent b="0" l="0" r="0" t="0"/>
                  <wp:wrapNone/>
                  <wp:docPr id="113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1201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B">
            <w:pPr>
              <w:spacing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Historias Clínicas y Auditorías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22"/>
              </w:numPr>
              <w:spacing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Correcto diligenciamiento de las historias clínicas: registro claro, completo y oportuno.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22"/>
              </w:numPr>
              <w:spacing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Consentimiento informado obligatorio para procedimientos.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22"/>
              </w:numPr>
              <w:spacing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Importancia de auditorías periódicas para asegurar la calidad y corregir fallos.</w:t>
            </w:r>
          </w:p>
          <w:p w:rsidR="00000000" w:rsidDel="00000000" w:rsidP="00000000" w:rsidRDefault="00000000" w:rsidRPr="00000000" w14:paraId="00000075">
            <w:pPr>
              <w:spacing w:line="276" w:lineRule="auto"/>
              <w:ind w:left="720"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finaliza realizando la evaluación de los conocimientos previos y se hace la socialización de las respuestas.</w:t>
            </w:r>
          </w:p>
          <w:p w:rsidR="00000000" w:rsidDel="00000000" w:rsidP="00000000" w:rsidRDefault="00000000" w:rsidRPr="00000000" w14:paraId="00000077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24"/>
              </w:numPr>
              <w:spacing w:after="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xy2s5zshkwf2" w:id="0"/>
            <w:bookmarkEnd w:id="0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ANÁLISIS DE EVALUACIÓN / PRE-TEST Y POST-TEST</w:t>
            </w:r>
          </w:p>
          <w:p w:rsidR="00000000" w:rsidDel="00000000" w:rsidP="00000000" w:rsidRDefault="00000000" w:rsidRPr="00000000" w14:paraId="00000079">
            <w:pPr>
              <w:spacing w:after="200" w:line="276" w:lineRule="auto"/>
              <w:ind w:left="0"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4b5j7qjecauz" w:id="1"/>
            <w:bookmarkEnd w:id="1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Antes de iniciar la capacitación, se aplicó un pre-test a los participantes para identificar su nivel inicial de conocimiento. Tras la capacitación, se realizó un post-test con el mismo contenido para medir el aprendizaje logrado. A continuación, se detalla el comparativo entre los resultados del pre-test y el post-test: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240" w:before="240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6yv34lvodwxk" w:id="2"/>
            <w:bookmarkEnd w:id="2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DETALLE DE INFORMACIÓN DE LA EVALUACIÓN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7"/>
              </w:numPr>
              <w:spacing w:before="24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9zn4rjlkn0m5" w:id="3"/>
            <w:bookmarkEnd w:id="3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Cantidad de participantes: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1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7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1wcuf92jwcy9" w:id="4"/>
            <w:bookmarkEnd w:id="4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Puntaje asignado por respuesta correcta: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1 punto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7"/>
              </w:numPr>
              <w:spacing w:after="24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vcm1oz7n657e" w:id="5"/>
            <w:bookmarkEnd w:id="5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Total de preguntas planteadas: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5 (5 preguntas por participante)</w:t>
            </w:r>
          </w:p>
          <w:p w:rsidR="00000000" w:rsidDel="00000000" w:rsidP="00000000" w:rsidRDefault="00000000" w:rsidRPr="00000000" w14:paraId="0000007E">
            <w:pPr>
              <w:spacing w:after="240" w:before="240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Comparativo Pre-Test vs Post-Test por pregunta:</w:t>
            </w:r>
          </w:p>
          <w:p w:rsidR="00000000" w:rsidDel="00000000" w:rsidP="00000000" w:rsidRDefault="00000000" w:rsidRPr="00000000" w14:paraId="0000007F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1: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8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1 respuesta correcta / 1 pregunta planteada (100%)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8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q1xu07n0fwgh" w:id="6"/>
            <w:bookmarkEnd w:id="6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1 respuesta correcta / 1 pregunta planteada (100%)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2990850</wp:posOffset>
                  </wp:positionH>
                  <wp:positionV relativeFrom="paragraph">
                    <wp:posOffset>371475</wp:posOffset>
                  </wp:positionV>
                  <wp:extent cx="2657475" cy="1266258"/>
                  <wp:effectExtent b="0" l="0" r="0" t="0"/>
                  <wp:wrapNone/>
                  <wp:docPr descr="Gráfico de las respuestas de Formularios. Título de la pregunta:  ¿Cuál de los siguientes no es un estándar incluido en la Resolución 3100 de 2019?&#10;. Número de respuestas: 1/1 respuesta correcta." id="1137" name="image13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 ¿Cuál de los siguientes no es un estándar incluido en la Resolución 3100 de 2019?&#10;. Número de respuestas: 1/1 respuesta correcta."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12662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47627</wp:posOffset>
                  </wp:positionH>
                  <wp:positionV relativeFrom="paragraph">
                    <wp:posOffset>370972</wp:posOffset>
                  </wp:positionV>
                  <wp:extent cx="2659484" cy="1267215"/>
                  <wp:effectExtent b="0" l="0" r="0" t="0"/>
                  <wp:wrapNone/>
                  <wp:docPr descr="Gráfico de las respuestas de Formularios. Título de la pregunta:  ¿Cuál de los siguientes no es un estándar incluido en la Resolución 3100 de 2019?&#10;. Número de respuestas: 1/1 respuesta correcta." id="1136" name="image13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 ¿Cuál de los siguientes no es un estándar incluido en la Resolución 3100 de 2019?&#10;. Número de respuestas: 1/1 respuesta correcta."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484" cy="12672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82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i8sw7ifcttol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i981vkowmld" w:id="8"/>
            <w:bookmarkEnd w:id="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wrfn2vwu8ie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80i56jccx4cb" w:id="10"/>
            <w:bookmarkEnd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2: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9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1 respuesta correcta / 1 pregunta planteada (100%)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9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1 respuesta correcta / 1 pregunta planteada (100%)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3038475</wp:posOffset>
                  </wp:positionH>
                  <wp:positionV relativeFrom="paragraph">
                    <wp:posOffset>466223</wp:posOffset>
                  </wp:positionV>
                  <wp:extent cx="2943225" cy="1402414"/>
                  <wp:effectExtent b="0" l="0" r="0" t="0"/>
                  <wp:wrapNone/>
                  <wp:docPr descr="Gráfico de las respuestas de Formularios. Título de la pregunta: Según la normativa actual, ¿en qué color se deben depositar los residuos biosanitarios?&#10;. Número de respuestas: 1/1 respuesta correcta." id="1125" name="image12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Según la normativa actual, ¿en qué color se deben depositar los residuos biosanitarios?&#10;. Número de respuestas: 1/1 respuesta correcta." id="0" name="image1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225" cy="14024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89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a2md3cf951la" w:id="11"/>
            <w:bookmarkEnd w:id="11"/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47627</wp:posOffset>
                  </wp:positionH>
                  <wp:positionV relativeFrom="paragraph">
                    <wp:posOffset>114300</wp:posOffset>
                  </wp:positionV>
                  <wp:extent cx="2943225" cy="1402414"/>
                  <wp:effectExtent b="0" l="0" r="0" t="0"/>
                  <wp:wrapNone/>
                  <wp:docPr descr="Gráfico de las respuestas de Formularios. Título de la pregunta: Según la normativa actual, ¿en qué color se deben depositar los residuos biosanitarios?&#10;. Número de respuestas: 1/1 respuesta correcta." id="1124" name="image12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Según la normativa actual, ¿en qué color se deben depositar los residuos biosanitarios?&#10;. Número de respuestas: 1/1 respuesta correcta." id="0" name="image1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225" cy="14024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8A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1l36qyqubq2d" w:id="12"/>
            <w:bookmarkEnd w:id="1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a60kc7bw5ktj" w:id="13"/>
            <w:bookmarkEnd w:id="1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pgj9o9d81ei3" w:id="14"/>
            <w:bookmarkEnd w:id="1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ms0s45qp6hp" w:id="15"/>
            <w:bookmarkEnd w:id="1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ji1pgvsgpx6" w:id="16"/>
            <w:bookmarkEnd w:id="1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3: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5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1 respuesta correcta / 1 pregunta planteada (100%)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15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1 respuesta correcta / 1 pregunta planteada (100%)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2943225</wp:posOffset>
                  </wp:positionH>
                  <wp:positionV relativeFrom="paragraph">
                    <wp:posOffset>371475</wp:posOffset>
                  </wp:positionV>
                  <wp:extent cx="2666307" cy="1270466"/>
                  <wp:effectExtent b="0" l="0" r="0" t="0"/>
                  <wp:wrapNone/>
                  <wp:docPr descr="Gráfico de las respuestas de Formularios. Título de la pregunta: ¿Qué es lo más importante en un programa de seguridad del paciente?&#10;. Número de respuestas: 1/1 respuesta correcta." id="1128" name="image7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¿Qué es lo más importante en un programa de seguridad del paciente?&#10;. Número de respuestas: 1/1 respuesta correcta."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6307" cy="12704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47627</wp:posOffset>
                  </wp:positionH>
                  <wp:positionV relativeFrom="paragraph">
                    <wp:posOffset>370972</wp:posOffset>
                  </wp:positionV>
                  <wp:extent cx="2666307" cy="1270466"/>
                  <wp:effectExtent b="0" l="0" r="0" t="0"/>
                  <wp:wrapNone/>
                  <wp:docPr descr="Gráfico de las respuestas de Formularios. Título de la pregunta: ¿Qué es lo más importante en un programa de seguridad del paciente?&#10;. Número de respuestas: 1/1 respuesta correcta." id="1126" name="image7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¿Qué es lo más importante en un programa de seguridad del paciente?&#10;. Número de respuestas: 1/1 respuesta correcta."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6307" cy="12704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92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xx4egess9tqj" w:id="17"/>
            <w:bookmarkEnd w:id="1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7wzdgvitgm98" w:id="18"/>
            <w:bookmarkEnd w:id="1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bcj5duhsjnmo" w:id="19"/>
            <w:bookmarkEnd w:id="1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akffmbt3t80t" w:id="20"/>
            <w:bookmarkEnd w:id="2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4: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14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0 respuesta correcta / 1 pregunta planteada (0%)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14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1 respuesta correcta / 1 pregunta planteada (100%)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2857500</wp:posOffset>
                  </wp:positionH>
                  <wp:positionV relativeFrom="paragraph">
                    <wp:posOffset>371475</wp:posOffset>
                  </wp:positionV>
                  <wp:extent cx="2667000" cy="1274736"/>
                  <wp:effectExtent b="0" l="0" r="0" t="0"/>
                  <wp:wrapNone/>
                  <wp:docPr descr="Gráfico de las respuestas de Formularios. Título de la pregunta: ¿Cuál de los siguientes es un evento que no causa daño pero evidencia una falla en el proceso?&#10;. Número de respuestas: 1/1 respuesta correcta." id="1127" name="image4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¿Cuál de los siguientes es un evento que no causa daño pero evidencia una falla en el proceso?&#10;. Número de respuestas: 1/1 respuesta correcta." id="0" name="image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2747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47627</wp:posOffset>
                  </wp:positionH>
                  <wp:positionV relativeFrom="paragraph">
                    <wp:posOffset>370972</wp:posOffset>
                  </wp:positionV>
                  <wp:extent cx="2667000" cy="1270796"/>
                  <wp:effectExtent b="0" l="0" r="0" t="0"/>
                  <wp:wrapNone/>
                  <wp:docPr descr="Gráfico de las respuestas de Formularios. Título de la pregunta: ¿Cuál de los siguientes es un evento que no causa daño pero evidencia una falla en el proceso?&#10;. Número de respuestas: 0/1 respuesta correcta." id="1132" name="image5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¿Cuál de los siguientes es un evento que no causa daño pero evidencia una falla en el proceso?&#10;. Número de respuestas: 0/1 respuesta correcta." id="0" name="image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2707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99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2euaj98tli97" w:id="21"/>
            <w:bookmarkEnd w:id="2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rlsqo58jwmuz" w:id="22"/>
            <w:bookmarkEnd w:id="2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i9difpqc7xkx" w:id="23"/>
            <w:bookmarkEnd w:id="2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3qbecwx5jo0n" w:id="24"/>
            <w:bookmarkEnd w:id="2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u1pjqsxgsdkf" w:id="25"/>
            <w:bookmarkEnd w:id="25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5: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20"/>
              </w:numPr>
              <w:spacing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1 respuesta correcta / 1 pregunta planteada (100%)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20"/>
              </w:numPr>
              <w:spacing w:after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1 respuesta correcta / 1 pregunta planteada (100%)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3200400</wp:posOffset>
                  </wp:positionH>
                  <wp:positionV relativeFrom="paragraph">
                    <wp:posOffset>466223</wp:posOffset>
                  </wp:positionV>
                  <wp:extent cx="2685308" cy="1276350"/>
                  <wp:effectExtent b="0" l="0" r="0" t="0"/>
                  <wp:wrapNone/>
                  <wp:docPr descr="Gráfico de las respuestas de Formularios. Título de la pregunta: ¿Cuál es una característica clave del correcto diligenciamiento de una historia clínica?&#10;. Número de respuestas: 1/1 respuesta correcta." id="1131" name="image3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¿Cuál es una característica clave del correcto diligenciamiento de una historia clínica?&#10;. Número de respuestas: 1/1 respuesta correcta." id="0" name="image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5308" cy="1276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A0">
            <w:pPr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47627</wp:posOffset>
                  </wp:positionH>
                  <wp:positionV relativeFrom="paragraph">
                    <wp:posOffset>114300</wp:posOffset>
                  </wp:positionV>
                  <wp:extent cx="2685308" cy="1276350"/>
                  <wp:effectExtent b="0" l="0" r="0" t="0"/>
                  <wp:wrapNone/>
                  <wp:docPr descr="Gráfico de las respuestas de Formularios. Título de la pregunta: ¿Cuál es una característica clave del correcto diligenciamiento de una historia clínica?&#10;. Número de respuestas: 1/1 respuesta correcta." id="1130" name="image3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¿Cuál es una característica clave del correcto diligenciamiento de una historia clínica?&#10;. Número de respuestas: 1/1 respuesta correcta." id="0" name="image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5308" cy="1276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A1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uudh1n9whvzg" w:id="26"/>
            <w:bookmarkEnd w:id="2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bvl3esawvc9z" w:id="27"/>
            <w:bookmarkEnd w:id="2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sfw0ero03ga2" w:id="28"/>
            <w:bookmarkEnd w:id="2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8utrnu41tian" w:id="29"/>
            <w:bookmarkEnd w:id="2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ypg59hgiwvng" w:id="30"/>
            <w:bookmarkEnd w:id="3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7enm0iqh70lt" w:id="31"/>
            <w:bookmarkEnd w:id="3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gb9cdjxse16w" w:id="32"/>
            <w:bookmarkEnd w:id="3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o15vf25urnt" w:id="33"/>
            <w:bookmarkEnd w:id="3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INFORME DE ADHERENCIA A CAPACITACIÓN </w:t>
            </w:r>
          </w:p>
          <w:p w:rsidR="00000000" w:rsidDel="00000000" w:rsidP="00000000" w:rsidRDefault="00000000" w:rsidRPr="00000000" w14:paraId="000000AB">
            <w:pPr>
              <w:spacing w:after="240" w:before="24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e7ri2hb5ddg6" w:id="34"/>
            <w:bookmarkEnd w:id="34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evidenció una mejora significativa en los conocimientos de los participantes.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16"/>
              </w:numPr>
              <w:spacing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Resultados del Pre-Test: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4 respuestas correctas de 5 preguntas planteadas (80% de cumplimiento).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6"/>
              </w:numPr>
              <w:spacing w:after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Resultados del Post-Test: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5 respuestas correctas de 5 preguntas planteadas (100% de cumplimiento).</w:t>
            </w:r>
          </w:p>
          <w:p w:rsidR="00000000" w:rsidDel="00000000" w:rsidP="00000000" w:rsidRDefault="00000000" w:rsidRPr="00000000" w14:paraId="000000AE">
            <w:pPr>
              <w:spacing w:after="240" w:before="24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El análisis demuestra que, inicialmente, la colaboradora tenía errores recurrentes en 1 de las 5 preguntas planteadas por persona, lo que refleja un nivel de conocimiento parcial del tema antes de la capacitación. Sin embargo, tras el proceso formativo, lograron responder correctamente el 100% de las preguntas, validando la efectividad de la capacitación.</w:t>
            </w:r>
          </w:p>
          <w:p w:rsidR="00000000" w:rsidDel="00000000" w:rsidP="00000000" w:rsidRDefault="00000000" w:rsidRPr="00000000" w14:paraId="000000AF">
            <w:pPr>
              <w:spacing w:after="240" w:before="24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Para verificar los resultados, cada pregunta fue analizada en detalle y acompañada de gráficas comparativas entre el pre-test y el post-test. Además, durante la capacitación, se aclararon dudas y se reforzaron conceptos clave para asegurar una adecuada comprensión.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12"/>
              </w:numPr>
              <w:tabs>
                <w:tab w:val="left" w:leader="none" w:pos="2129"/>
              </w:tabs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22"/>
                <w:szCs w:val="22"/>
                <w:rtl w:val="0"/>
              </w:rPr>
              <w:t xml:space="preserve">CIERRE.</w:t>
            </w:r>
          </w:p>
          <w:p w:rsidR="00000000" w:rsidDel="00000000" w:rsidP="00000000" w:rsidRDefault="00000000" w:rsidRPr="00000000" w14:paraId="000000B1">
            <w:pPr>
              <w:tabs>
                <w:tab w:val="left" w:leader="none" w:pos="2129"/>
              </w:tabs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Siendo las 10:00 a.m. La asesora del área de calidad agradece a los presentes por su participación en la capacitación.</w:t>
            </w:r>
          </w:p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0"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75"/>
        <w:gridCol w:w="2325"/>
        <w:gridCol w:w="2265"/>
        <w:tblGridChange w:id="0">
          <w:tblGrid>
            <w:gridCol w:w="5175"/>
            <w:gridCol w:w="2325"/>
            <w:gridCol w:w="2265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COMPROMISOS PRÓXIMA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numPr>
                <w:ilvl w:val="0"/>
                <w:numId w:val="7"/>
              </w:numPr>
              <w:spacing w:after="40" w:before="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40" w:before="40" w:lineRule="auto"/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40" w:before="40" w:lineRule="auto"/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05.0" w:type="dxa"/>
        <w:jc w:val="left"/>
        <w:tblInd w:w="-4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80"/>
        <w:gridCol w:w="2565"/>
        <w:gridCol w:w="3060"/>
        <w:tblGridChange w:id="0">
          <w:tblGrid>
            <w:gridCol w:w="4080"/>
            <w:gridCol w:w="2565"/>
            <w:gridCol w:w="3060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BB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ASISTENTES A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NOMBRES Y APELLIDOS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before="0" w:lineRule="auto"/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Carlos Javier Vizcaino Guerrero</w:t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before="0" w:lineRule="auto"/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Medico Especialista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spacing w:before="0" w:lineRule="auto"/>
              <w:ind w:firstLine="0"/>
              <w:jc w:val="left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219075</wp:posOffset>
                  </wp:positionH>
                  <wp:positionV relativeFrom="paragraph">
                    <wp:posOffset>114300</wp:posOffset>
                  </wp:positionV>
                  <wp:extent cx="923925" cy="396814"/>
                  <wp:effectExtent b="0" l="0" r="0" t="0"/>
                  <wp:wrapNone/>
                  <wp:docPr id="1133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396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832.4609375000001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before="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Kelly Dayana Canacue</w:t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before="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Asesor de calidad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spacing w:before="12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</w:rPr>
              <w:drawing>
                <wp:inline distB="114300" distT="114300" distL="114300" distR="114300">
                  <wp:extent cx="675322" cy="325744"/>
                  <wp:effectExtent b="0" l="0" r="0" t="0"/>
                  <wp:docPr id="114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322" cy="3257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pgSz w:h="15842" w:w="12242" w:orient="portrait"/>
      <w:pgMar w:bottom="1276" w:top="1334" w:left="1985" w:right="902" w:header="709" w:footer="2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9"/>
      <w:tblW w:w="9750.0" w:type="dxa"/>
      <w:jc w:val="left"/>
      <w:tblInd w:w="-49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875"/>
      <w:gridCol w:w="2130"/>
      <w:gridCol w:w="2340"/>
      <w:gridCol w:w="1425"/>
      <w:gridCol w:w="1980"/>
      <w:tblGridChange w:id="0">
        <w:tblGrid>
          <w:gridCol w:w="1875"/>
          <w:gridCol w:w="2130"/>
          <w:gridCol w:w="2340"/>
          <w:gridCol w:w="1425"/>
          <w:gridCol w:w="198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D3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Elaborado</w:t>
          </w:r>
        </w:p>
      </w:tc>
      <w:tc>
        <w:tcPr/>
        <w:p w:rsidR="00000000" w:rsidDel="00000000" w:rsidP="00000000" w:rsidRDefault="00000000" w:rsidRPr="00000000" w14:paraId="000000D4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Revisado</w:t>
          </w:r>
        </w:p>
      </w:tc>
      <w:tc>
        <w:tcPr/>
        <w:p w:rsidR="00000000" w:rsidDel="00000000" w:rsidP="00000000" w:rsidRDefault="00000000" w:rsidRPr="00000000" w14:paraId="000000D5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Aprobado</w:t>
          </w:r>
        </w:p>
      </w:tc>
      <w:tc>
        <w:tcPr/>
        <w:p w:rsidR="00000000" w:rsidDel="00000000" w:rsidP="00000000" w:rsidRDefault="00000000" w:rsidRPr="00000000" w14:paraId="000000D6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Actualización</w:t>
          </w:r>
        </w:p>
      </w:tc>
      <w:tc>
        <w:tcPr/>
        <w:p w:rsidR="00000000" w:rsidDel="00000000" w:rsidP="00000000" w:rsidRDefault="00000000" w:rsidRPr="00000000" w14:paraId="000000D7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01 de Enero de 2025</w:t>
          </w:r>
        </w:p>
      </w:tc>
    </w:tr>
    <w:tr>
      <w:trPr>
        <w:cantSplit w:val="0"/>
        <w:tblHeader w:val="0"/>
      </w:trPr>
      <w:tc>
        <w:tcPr>
          <w:vMerge w:val="restart"/>
        </w:tcPr>
        <w:p w:rsidR="00000000" w:rsidDel="00000000" w:rsidP="00000000" w:rsidRDefault="00000000" w:rsidRPr="00000000" w14:paraId="000000D8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Kelly Canacue</w:t>
          </w:r>
        </w:p>
        <w:p w:rsidR="00000000" w:rsidDel="00000000" w:rsidP="00000000" w:rsidRDefault="00000000" w:rsidRPr="00000000" w14:paraId="000000D9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Líder de calidad</w:t>
          </w:r>
        </w:p>
      </w:tc>
      <w:tc>
        <w:tcPr>
          <w:vMerge w:val="restart"/>
        </w:tcPr>
        <w:p w:rsidR="00000000" w:rsidDel="00000000" w:rsidP="00000000" w:rsidRDefault="00000000" w:rsidRPr="00000000" w14:paraId="000000DA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Kelly Canacue</w:t>
          </w:r>
        </w:p>
        <w:p w:rsidR="00000000" w:rsidDel="00000000" w:rsidP="00000000" w:rsidRDefault="00000000" w:rsidRPr="00000000" w14:paraId="000000DB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  <w:highlight w:val="yellow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Líder de calidad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</w:tcPr>
        <w:p w:rsidR="00000000" w:rsidDel="00000000" w:rsidP="00000000" w:rsidRDefault="00000000" w:rsidRPr="00000000" w14:paraId="000000DC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  <w:highlight w:val="whit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highlight w:val="white"/>
              <w:rtl w:val="0"/>
            </w:rPr>
            <w:t xml:space="preserve">Carlos Vizcaino</w:t>
          </w:r>
        </w:p>
        <w:p w:rsidR="00000000" w:rsidDel="00000000" w:rsidP="00000000" w:rsidRDefault="00000000" w:rsidRPr="00000000" w14:paraId="000000DD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Profesional Independiente</w:t>
          </w:r>
        </w:p>
      </w:tc>
      <w:tc>
        <w:tcPr/>
        <w:p w:rsidR="00000000" w:rsidDel="00000000" w:rsidP="00000000" w:rsidRDefault="00000000" w:rsidRPr="00000000" w14:paraId="000000DE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Versión</w:t>
          </w:r>
        </w:p>
      </w:tc>
      <w:tc>
        <w:tcPr/>
        <w:p w:rsidR="00000000" w:rsidDel="00000000" w:rsidP="00000000" w:rsidRDefault="00000000" w:rsidRPr="00000000" w14:paraId="000000DF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002</w:t>
          </w:r>
        </w:p>
      </w:tc>
    </w:tr>
    <w:tr>
      <w:trPr>
        <w:cantSplit w:val="0"/>
        <w:tblHeader w:val="0"/>
      </w:trPr>
      <w:tc>
        <w:tcPr>
          <w:vMerge w:val="continue"/>
        </w:tcPr>
        <w:p w:rsidR="00000000" w:rsidDel="00000000" w:rsidP="00000000" w:rsidRDefault="00000000" w:rsidRPr="00000000" w14:paraId="000000E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E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E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E3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Página</w:t>
          </w:r>
        </w:p>
      </w:tc>
      <w:tc>
        <w:tcPr/>
        <w:p w:rsidR="00000000" w:rsidDel="00000000" w:rsidP="00000000" w:rsidRDefault="00000000" w:rsidRPr="00000000" w14:paraId="000000E4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0" w:hanging="2"/>
      <w:rPr>
        <w:rFonts w:ascii="Century Gothic" w:cs="Century Gothic" w:eastAsia="Century Gothic" w:hAnsi="Century Gothic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8"/>
      <w:tblW w:w="9750.0" w:type="dxa"/>
      <w:jc w:val="left"/>
      <w:tblInd w:w="-58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670"/>
      <w:gridCol w:w="4350"/>
      <w:gridCol w:w="2730"/>
      <w:tblGridChange w:id="0">
        <w:tblGrid>
          <w:gridCol w:w="2670"/>
          <w:gridCol w:w="4350"/>
          <w:gridCol w:w="2730"/>
        </w:tblGrid>
      </w:tblGridChange>
    </w:tblGrid>
    <w:tr>
      <w:trPr>
        <w:cantSplit w:val="0"/>
        <w:trHeight w:val="41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C9">
          <w:pPr>
            <w:tabs>
              <w:tab w:val="right" w:leader="none" w:pos="9003"/>
            </w:tabs>
            <w:ind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114300" distT="114300" distL="114300" distR="114300">
                <wp:extent cx="1562100" cy="546100"/>
                <wp:effectExtent b="0" l="0" r="0" t="0"/>
                <wp:docPr id="112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100" cy="546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CA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rtl w:val="0"/>
            </w:rPr>
            <w:t xml:space="preserve">ACTA DE REUNIÓN, CAPACITACIONES Y OTRAS ACTIVIDADES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CB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C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16"/>
              <w:szCs w:val="16"/>
              <w:rtl w:val="0"/>
            </w:rPr>
            <w:t xml:space="preserve">PROCESO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C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C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CF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0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CIDTPA-TH-FO-043</w:t>
          </w:r>
        </w:p>
      </w:tc>
    </w:tr>
  </w:tbl>
  <w:p w:rsidR="00000000" w:rsidDel="00000000" w:rsidP="00000000" w:rsidRDefault="00000000" w:rsidRPr="00000000" w14:paraId="000000D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pPr>
      <w:suppressAutoHyphens w:val="0"/>
      <w:spacing w:after="120"/>
    </w:pPr>
    <w:rPr>
      <w:sz w:val="20"/>
      <w:szCs w:val="20"/>
    </w:rPr>
  </w:style>
  <w:style w:type="paragraph" w:styleId="Prrafodelista">
    <w:name w:val="List Paragraph"/>
    <w:basedOn w:val="Normal"/>
    <w:pPr>
      <w:ind w:left="708"/>
    </w:pPr>
  </w:style>
  <w:style w:type="character" w:styleId="EncabezadoCar" w:customStyle="1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character" w:styleId="PiedepginaCar" w:customStyle="1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9.png"/><Relationship Id="rId10" Type="http://schemas.openxmlformats.org/officeDocument/2006/relationships/image" Target="media/image14.png"/><Relationship Id="rId21" Type="http://schemas.openxmlformats.org/officeDocument/2006/relationships/footer" Target="footer1.xml"/><Relationship Id="rId13" Type="http://schemas.openxmlformats.org/officeDocument/2006/relationships/image" Target="media/image12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4.png"/><Relationship Id="rId14" Type="http://schemas.openxmlformats.org/officeDocument/2006/relationships/image" Target="media/image7.png"/><Relationship Id="rId17" Type="http://schemas.openxmlformats.org/officeDocument/2006/relationships/image" Target="media/image3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customXml" Target="../customXML/item1.xml"/><Relationship Id="rId18" Type="http://schemas.openxmlformats.org/officeDocument/2006/relationships/image" Target="media/image1.jpg"/><Relationship Id="rId7" Type="http://schemas.openxmlformats.org/officeDocument/2006/relationships/image" Target="media/image11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KbilyvrddylZJOD5eciC6ejxtw==">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2021-10-19T12:25:00Z</dcterms:created>
  <dc:creator>Almacen</dc:creator>
</cp:coreProperties>
</file>