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Evaluar los aspectos normativos y de calidad relacionados con la habilitación de servicios de salud, conforme a la Resolución 3100 de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26 DE JUNIO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3:30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4:00 PM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 de Pausas activas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425.19685039370086" w:right="88.93700787401599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Evaluación y adherencia sobre temas explicados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Preguntas acerca del 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Cierre de la capacitación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spacing w:after="40" w:before="40" w:lineRule="auto"/>
              <w:ind w:left="720" w:hanging="2.0000000000000284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ACTIVIDAD: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3:00 pm del día 26 de junio del 2025, se inicia capacitación a los trabajadores dando a conocer que 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noikk8cu0qt5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 la Activida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DEFINICIÓN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Han sido una de las principales herramientas de la salud ocupacional para promover actividad física enfocada a mejorar la movilidad articular, realizar estiramientos y ejercicios que propicien cambios de posición y disminución de cargas osteomusculares por mantenimiento de posiciones prolongadas y/o movimientos repetitivos durante la jornada laboral.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RAZONES PARA REALIZARLAS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1. Disminuye el estrés.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2.Favorece el cambio de posturas y rutina.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3.Se activan partes del cuerpo que permanecen estáticas por mucho tiempo, brindando descanso y comodidad física.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4.Libera estrés articular y muscular.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5.Estimula y favorece la circulación.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6.Mejora la postura.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7.Favorece la autoestima y capacidad de concentración.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8.Motiva y mejora las relaciones interpersonales, promueve la integración social.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9.Mejora el desempeño laboral.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¿QUÉ EJERCICIOS 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ind w:left="0" w:firstLine="0"/>
              <w:jc w:val="center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315260" cy="2398844"/>
                  <wp:effectExtent b="0" l="0" r="0" t="0"/>
                  <wp:docPr id="10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260" cy="23988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rFonts w:ascii="Century Gothic" w:cs="Century Gothic" w:eastAsia="Century Gothic" w:hAnsi="Century Gothic"/>
                <w:b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ESTUDIOS CIENTÍFICOS INDICAN: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síndrome de burn-out es un estado de agotamiento físico, mental y emocional relacionado a las condiciones laborales.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6" w:lineRule="auto"/>
              <w:ind w:left="72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Una forma de tratamiento es aprender a afrontar el estrés mediante técnicas de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ind w:left="72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relajación y respiración, así como terapia psicológica cognitivo-conductual.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Pausas activas como estrategia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left="72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prevenir enfermedades ocupacionales, identificando condiciones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ind w:left="72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disergonómicas y generar bienestar en los trabajadores en pro del desempeño laboral.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ind w:left="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 CONTINUACIÓN SE RELACIONA UN VIDEO PARA REALIZAR UN EJERCICIO PRÁCTICO </w:t>
            </w: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2"/>
                  <w:szCs w:val="22"/>
                  <w:u w:val="single"/>
                  <w:rtl w:val="0"/>
                </w:rPr>
                <w:t xml:space="preserve">EJERCICIOS DE PAUSA ACTIVA - YouTube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finaliza realizando la evaluación de los conocimientos previos y se hace la socialización de las respuestas.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y2s5zshkwf2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ANÁLISIS DE EVALUACIÓN / PRE-TEST Y POST-TEST</w:t>
            </w:r>
          </w:p>
          <w:p w:rsidR="00000000" w:rsidDel="00000000" w:rsidP="00000000" w:rsidRDefault="00000000" w:rsidRPr="00000000" w14:paraId="00000058">
            <w:pPr>
              <w:spacing w:after="20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4b5j7qjecauz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Antes de iniciar la capacitación, se aplicó un pre-test a los participantes para identificar su nivel inicial de conocimiento. Tras la capacitación, se realizó un post-test con el mismo contenido para medir el aprendizaje logrado. A continuación, se detalla el comparativo entre los resultados del pre-test y el post-test: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6yv34lvodwxk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DETALLE DE INFORMACIÓN DE LA EVALUACIÓN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spacing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9zn4rjlkn0m5" w:id="4"/>
            <w:bookmarkEnd w:id="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Cantidad de participantes: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1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wcuf92jwcy9" w:id="5"/>
            <w:bookmarkEnd w:id="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Puntaje asignado por respuesta correcta: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 punto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1"/>
              </w:numPr>
              <w:spacing w:after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vcm1oz7n657e" w:id="6"/>
            <w:bookmarkEnd w:id="6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Total de preguntas planteadas: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20 (5 preguntas por participante)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Comparativo Pre-Test vs Post-Test por pregunta: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1: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354263" cy="1127137"/>
                  <wp:effectExtent b="0" l="0" r="0" t="0"/>
                  <wp:docPr descr="Gráfico de las respuestas de Formularios. Título de la pregunta: 1. Las pausas activas han sido una de las principales herramientas de la salud ocupacional . Número de respuestas: 0/4 respuestas correctas." id="106" name="image2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1. Las pausas activas han sido una de las principales herramientas de la salud ocupacional . Número de respuestas: 0/4 respuestas correctas.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263" cy="11271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562225" cy="1111789"/>
                  <wp:effectExtent b="0" l="0" r="0" t="0"/>
                  <wp:docPr descr="Gráfico de las respuestas de Formularios. Título de la pregunta: 1. Las pausas activas han sido una de las principales herramientas de la salud ocupacional . Número de respuestas: 0/5 respuestas correctas." id="105" name="image9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1. Las pausas activas han sido una de las principales herramientas de la salud ocupacional . Número de respuestas: 0/5 respuestas correctas."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1117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3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3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q1xu07n0fwgh" w:id="7"/>
            <w:bookmarkEnd w:id="7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3 respuestas correctas / 4 preguntas planteadas (60%)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2: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620963" cy="1247217"/>
                  <wp:effectExtent b="0" l="0" r="0" t="0"/>
                  <wp:docPr descr="Gráfico de las respuestas de Formularios. Título de la pregunta: 2. Cual o cuales de las siguientes opciones hacen parte de las razones para realizar pausas activas. Número de respuestas: 0/4 respuestas correctas." id="108" name="image1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2. Cual o cuales de las siguientes opciones hacen parte de las razones para realizar pausas activas. Número de respuestas: 0/4 respuestas correctas." id="0" name="image1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963" cy="1247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735777" cy="1303568"/>
                  <wp:effectExtent b="0" l="0" r="0" t="0"/>
                  <wp:docPr descr="Gráfico de las respuestas de Formularios. Título de la pregunta: 2. Cual o cuales de las siguientes opciones hacen parte de las razones para realizar pausas activas. Número de respuestas: 0/5 respuestas correctas." id="107" name="image16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2. Cual o cuales de las siguientes opciones hacen parte de las razones para realizar pausas activas. Número de respuestas: 0/5 respuestas correctas."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777" cy="13035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3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3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3: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506663" cy="1273656"/>
                  <wp:effectExtent b="0" l="0" r="0" t="0"/>
                  <wp:docPr descr="Gráfico de las respuestas de Formularios. Título de la pregunta: 3. Además de para estirarnos y descansar, las pausas activas NO sirven para recuperar la energía perdida. Número de respuestas: 0/4 respuestas correctas." id="110" name="image11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3. Además de para estirarnos y descansar, las pausas activas NO sirven para recuperar la energía perdida. Número de respuestas: 0/4 respuestas correctas."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663" cy="12736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459038" cy="1258336"/>
                  <wp:effectExtent b="0" l="0" r="0" t="0"/>
                  <wp:docPr descr="Gráfico de las respuestas de Formularios. Título de la pregunta: 3. Además de para estirarnos y descansar, las pausas activas NO sirven para recuperar la energía perdida. Número de respuestas: 0/5 respuestas correctas." id="109" name="image8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3. Además de para estirarnos y descansar, las pausas activas NO sirven para recuperar la energía perdida. Número de respuestas: 0/5 respuestas correctas."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038" cy="1258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3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3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3 respuestas correctas / 4 preguntas planteadas (60%)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4:</w:t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468563" cy="1253873"/>
                  <wp:effectExtent b="0" l="0" r="0" t="0"/>
                  <wp:docPr descr="Gráfico de las respuestas de Formularios. Título de la pregunta: 4. El sindrome de burn-out es un estado de agotamiento fisico, mental y emocional relacionado a las condiciones laborales.. Número de respuestas: 0/4 respuestas correctas." id="112" name="image14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4. El sindrome de burn-out es un estado de agotamiento fisico, mental y emocional relacionado a las condiciones laborales.. Número de respuestas: 0/4 respuestas correctas."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563" cy="12538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576376" cy="1308006"/>
                  <wp:effectExtent b="0" l="0" r="0" t="0"/>
                  <wp:docPr descr="Gráfico de las respuestas de Formularios. Título de la pregunta: 4. El sindrome de burn-out es un estado de agotamiento fisico, mental y emocional relacionado a las condiciones laborales.. Número de respuestas: 0/5 respuestas correctas." id="111" name="image1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4. El sindrome de burn-out es un estado de agotamiento fisico, mental y emocional relacionado a las condiciones laborales.. Número de respuestas: 0/5 respuestas correctas."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376" cy="1308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3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3 respuestas correctas / 4 preguntas planteadas (75%)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3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5: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525713" cy="1287049"/>
                  <wp:effectExtent b="0" l="0" r="0" t="0"/>
                  <wp:docPr descr="Gráfico de las respuestas de Formularios. Título de la pregunta: 5. Las pausas activas previenen&#10;enfermedades ocupacionales, e identifican condiciones disergonómicas y generan bienestar en los trabajadores en pro del desempeño laboral.. Número de respuestas: 0/4 respuestas correctas." id="114" name="image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5. Las pausas activas previenen&#10;enfermedades ocupacionales, e identifican condiciones disergonómicas y generan bienestar en los trabajadores en pro del desempeño laboral.. Número de respuestas: 0/4 respuestas correctas."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713" cy="12870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659063" cy="1352066"/>
                  <wp:effectExtent b="0" l="0" r="0" t="0"/>
                  <wp:docPr descr="Gráfico de las respuestas de Formularios. Título de la pregunta: 5. Las pausas activas previenen&#10;enfermedades ocupacionales, e identifican condiciones disergonómicas y generan bienestar en los trabajadores en pro del desempeño laboral.. Número de respuestas: 0/5 respuestas correctas." id="113" name="image6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5. Las pausas activas previenen&#10;enfermedades ocupacionales, e identifican condiciones disergonómicas y generan bienestar en los trabajadores en pro del desempeño laboral.. Número de respuestas: 0/5 respuestas correctas."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063" cy="13520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3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3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3 respuestas correctas / 4 preguntas planteadas (60%)</w:t>
            </w:r>
          </w:p>
          <w:p w:rsidR="00000000" w:rsidDel="00000000" w:rsidP="00000000" w:rsidRDefault="00000000" w:rsidRPr="00000000" w14:paraId="00000072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9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INFORME DE ADHERENCIA A CAPACITACIÓN </w:t>
            </w:r>
          </w:p>
          <w:p w:rsidR="00000000" w:rsidDel="00000000" w:rsidP="00000000" w:rsidRDefault="00000000" w:rsidRPr="00000000" w14:paraId="00000074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e7ri2hb5ddg6" w:id="8"/>
            <w:bookmarkEnd w:id="8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evidenció una mejora significativa en los conocimientos de los participantes.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Pre-Test: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 respuestas correctas de 5 preguntas planteadas (40% de cumplimiento).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0"/>
              </w:numPr>
              <w:spacing w:after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Post-Test: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4 respuestas correctas de 5 preguntas planteadas (80% de cumplimiento).</w:t>
            </w:r>
          </w:p>
          <w:p w:rsidR="00000000" w:rsidDel="00000000" w:rsidP="00000000" w:rsidRDefault="00000000" w:rsidRPr="00000000" w14:paraId="00000077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análisis demuestra que, los colaboradores tuvieron errores en algunas de las 5 preguntas planteadas por persona, lo que refleja un nivel de conocimiento parcial del tema antes de la capacitación. Sin embargo, tras el proceso formativo, lograron responder correctamente el 80% de las preguntas, validando la efectividad de la capacitación.</w:t>
            </w:r>
          </w:p>
          <w:p w:rsidR="00000000" w:rsidDel="00000000" w:rsidP="00000000" w:rsidRDefault="00000000" w:rsidRPr="00000000" w14:paraId="00000078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verificar los resultados, cada pregunta fue analizada en detalle y acompañada de gráficas comparativas entre el pre-test y el post-test. Además, durante la capacitación, se aclararon dudas y se reforzaron conceptos clave para asegurar una adecuada comprensión.</w:t>
            </w:r>
          </w:p>
          <w:p w:rsidR="00000000" w:rsidDel="00000000" w:rsidP="00000000" w:rsidRDefault="00000000" w:rsidRPr="00000000" w14:paraId="00000079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2"/>
              </w:numPr>
              <w:tabs>
                <w:tab w:val="left" w:leader="none" w:pos="2129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  <w:rtl w:val="0"/>
              </w:rPr>
              <w:t xml:space="preserve">CIERRE.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4:00 p.m. La asesora del área de calidad agradece a los presentes por su participación en la capacitación.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8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Ind w:w="-6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5"/>
        <w:gridCol w:w="3060"/>
        <w:gridCol w:w="2475"/>
        <w:tblGridChange w:id="0">
          <w:tblGrid>
            <w:gridCol w:w="4245"/>
            <w:gridCol w:w="3060"/>
            <w:gridCol w:w="2475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8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Carlos Javier Vizcaino Guerrero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Medico Especialista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201613</wp:posOffset>
                  </wp:positionH>
                  <wp:positionV relativeFrom="paragraph">
                    <wp:posOffset>114300</wp:posOffset>
                  </wp:positionV>
                  <wp:extent cx="923925" cy="312315"/>
                  <wp:effectExtent b="0" l="0" r="0" t="0"/>
                  <wp:wrapNone/>
                  <wp:docPr id="115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312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Melanie Veloza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Auxiliar Administrativo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115888</wp:posOffset>
                  </wp:positionH>
                  <wp:positionV relativeFrom="paragraph">
                    <wp:posOffset>114300</wp:posOffset>
                  </wp:positionV>
                  <wp:extent cx="1019175" cy="388515"/>
                  <wp:effectExtent b="0" l="0" r="0" t="0"/>
                  <wp:wrapNone/>
                  <wp:docPr id="10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8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88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Samira Navarro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Nutricionista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1438275" cy="317500"/>
                  <wp:effectExtent b="0" l="0" r="0" t="0"/>
                  <wp:docPr id="9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Dalia Martinez Cardeño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Nutricionista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1438275" cy="457200"/>
                  <wp:effectExtent b="0" l="0" r="0" t="0"/>
                  <wp:docPr id="103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.4609375000001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Kelly Dayana Canacue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Asesor de calidad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before="120" w:lineRule="auto"/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</w:rPr>
              <w:drawing>
                <wp:inline distB="114300" distT="114300" distL="114300" distR="114300">
                  <wp:extent cx="1268413" cy="457200"/>
                  <wp:effectExtent b="0" l="0" r="0" t="0"/>
                  <wp:docPr id="10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413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sdt>
    <w:sdtPr>
      <w:lock w:val="contentLocked"/>
      <w:id w:val="-774741772"/>
      <w:tag w:val="goog_rdk_0"/>
    </w:sdtPr>
    <w:sdtContent>
      <w:tbl>
        <w:tblPr>
          <w:tblStyle w:val="Table9"/>
          <w:tblW w:w="9750.0" w:type="dxa"/>
          <w:jc w:val="left"/>
          <w:tblInd w:w="-498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1875"/>
          <w:gridCol w:w="2130"/>
          <w:gridCol w:w="2340"/>
          <w:gridCol w:w="1425"/>
          <w:gridCol w:w="1980"/>
          <w:tblGridChange w:id="0">
            <w:tblGrid>
              <w:gridCol w:w="1875"/>
              <w:gridCol w:w="2130"/>
              <w:gridCol w:w="2340"/>
              <w:gridCol w:w="1425"/>
              <w:gridCol w:w="1980"/>
            </w:tblGrid>
          </w:tblGridChange>
        </w:tblGrid>
        <w:tr>
          <w:trPr>
            <w:cantSplit w:val="0"/>
            <w:tblHeader w:val="0"/>
          </w:trPr>
          <w:tc>
            <w:tcPr/>
            <w:p w:rsidR="00000000" w:rsidDel="00000000" w:rsidP="00000000" w:rsidRDefault="00000000" w:rsidRPr="00000000" w14:paraId="000000A9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Elaborado</w:t>
              </w:r>
            </w:p>
          </w:tc>
          <w:tc>
            <w:tcPr/>
            <w:p w:rsidR="00000000" w:rsidDel="00000000" w:rsidP="00000000" w:rsidRDefault="00000000" w:rsidRPr="00000000" w14:paraId="000000AA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Revisado</w:t>
              </w:r>
            </w:p>
          </w:tc>
          <w:tc>
            <w:tcPr/>
            <w:p w:rsidR="00000000" w:rsidDel="00000000" w:rsidP="00000000" w:rsidRDefault="00000000" w:rsidRPr="00000000" w14:paraId="000000AB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Aprobado</w:t>
              </w:r>
            </w:p>
          </w:tc>
          <w:tc>
            <w:tcPr/>
            <w:p w:rsidR="00000000" w:rsidDel="00000000" w:rsidP="00000000" w:rsidRDefault="00000000" w:rsidRPr="00000000" w14:paraId="000000AC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Actualización</w:t>
              </w:r>
            </w:p>
          </w:tc>
          <w:tc>
            <w:tcPr/>
            <w:p w:rsidR="00000000" w:rsidDel="00000000" w:rsidP="00000000" w:rsidRDefault="00000000" w:rsidRPr="00000000" w14:paraId="000000AD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01 de Enero de 2025</w:t>
              </w:r>
            </w:p>
          </w:tc>
        </w:tr>
        <w:tr>
          <w:trPr>
            <w:cantSplit w:val="0"/>
            <w:tblHeader w:val="0"/>
          </w:trPr>
          <w:tc>
            <w:tcPr>
              <w:vMerge w:val="restart"/>
            </w:tcPr>
            <w:p w:rsidR="00000000" w:rsidDel="00000000" w:rsidP="00000000" w:rsidRDefault="00000000" w:rsidRPr="00000000" w14:paraId="000000AE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AF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Líder de calidad</w:t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B0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B1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  <w:highlight w:val="yellow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Líder de calidad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B2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  <w:highlight w:val="white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highlight w:val="white"/>
                  <w:rtl w:val="0"/>
                </w:rPr>
                <w:t xml:space="preserve">Carlos Vizcaino</w:t>
              </w:r>
            </w:p>
            <w:p w:rsidR="00000000" w:rsidDel="00000000" w:rsidP="00000000" w:rsidRDefault="00000000" w:rsidRPr="00000000" w14:paraId="000000B3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Gerente</w:t>
              </w:r>
            </w:p>
          </w:tc>
          <w:tc>
            <w:tcPr/>
            <w:p w:rsidR="00000000" w:rsidDel="00000000" w:rsidP="00000000" w:rsidRDefault="00000000" w:rsidRPr="00000000" w14:paraId="000000B4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Versión</w:t>
              </w:r>
            </w:p>
          </w:tc>
          <w:tc>
            <w:tcPr/>
            <w:p w:rsidR="00000000" w:rsidDel="00000000" w:rsidP="00000000" w:rsidRDefault="00000000" w:rsidRPr="00000000" w14:paraId="000000B5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002</w:t>
              </w:r>
            </w:p>
          </w:tc>
        </w:tr>
        <w:tr>
          <w:trPr>
            <w:cantSplit w:val="0"/>
            <w:tblHeader w:val="0"/>
          </w:trPr>
          <w:tc>
            <w:tcPr>
              <w:vMerge w:val="continue"/>
            </w:tcPr>
            <w:p w:rsidR="00000000" w:rsidDel="00000000" w:rsidP="00000000" w:rsidRDefault="00000000" w:rsidRPr="00000000" w14:paraId="000000B6">
              <w:pPr>
                <w:widowControl w:val="0"/>
                <w:spacing w:line="276" w:lineRule="auto"/>
                <w:ind w:firstLine="0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B7">
              <w:pPr>
                <w:widowControl w:val="0"/>
                <w:spacing w:line="276" w:lineRule="auto"/>
                <w:ind w:firstLine="0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B8">
              <w:pPr>
                <w:widowControl w:val="0"/>
                <w:spacing w:line="276" w:lineRule="auto"/>
                <w:ind w:firstLine="0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B9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Página</w:t>
              </w:r>
            </w:p>
          </w:tc>
          <w:tc>
            <w:tcPr/>
            <w:p w:rsidR="00000000" w:rsidDel="00000000" w:rsidP="00000000" w:rsidRDefault="00000000" w:rsidRPr="00000000" w14:paraId="000000BA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 de </w:t>
              </w: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</w:rPr>
                <w:fldChar w:fldCharType="begin"/>
                <w:instrText xml:space="preserve">NUMPAGES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BB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F">
          <w:pPr>
            <w:tabs>
              <w:tab w:val="right" w:leader="none" w:pos="9003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562100" cy="546100"/>
                <wp:effectExtent b="0" l="0" r="0" t="0"/>
                <wp:docPr id="10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0.jpg"/><Relationship Id="rId21" Type="http://schemas.openxmlformats.org/officeDocument/2006/relationships/image" Target="media/image7.png"/><Relationship Id="rId24" Type="http://schemas.openxmlformats.org/officeDocument/2006/relationships/header" Target="header1.xm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png"/><Relationship Id="rId8" Type="http://schemas.openxmlformats.org/officeDocument/2006/relationships/hyperlink" Target="https://www.youtube.com/watch?v=QBudUuTR3Bw" TargetMode="External"/><Relationship Id="rId11" Type="http://schemas.openxmlformats.org/officeDocument/2006/relationships/image" Target="media/image17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16.png"/><Relationship Id="rId15" Type="http://schemas.openxmlformats.org/officeDocument/2006/relationships/image" Target="media/image14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15.png"/><Relationship Id="rId19" Type="http://schemas.openxmlformats.org/officeDocument/2006/relationships/image" Target="media/image13.jp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VskitznjYCvueMQoGvYtk0MiyA==">CgMxLjAaHwoBMBIaChgICVIUChJ0YWJsZS5lcnh1MGluenZjdDMyDmgubm9pa2s4Y3UwcXQ1Mg5oLnh5MnM1enNoa3dmMjIOaC40YjVqN3FqZWNhdXoyDmguNnl2MzRsdm9kd3hrMg5oLjl6bjRyamxrbjBtNTIOaC4xd2N1ZjkyandjeTkyDmgudmNtMW96N242NTdlMg5oLnExeHUwN24wZndnaDIOaC5lN3JpMmhiNWRkZzY4AHIhMWZtY245bmJudDlicnBVRE1lOHRYaGZHRkVRQUFHYl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