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Fortalecer los conocimientos del personal asistencial y administrativo en el proceso de Referencia y Contrarreferencia, con el fin de garantizar la continuidad, oportunidad y calidad en la atención de los pacientes, en cumplimiento de la normatividad vigente.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FECHA:  29 DE OCT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HORA DE INICIO: 11:00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HORA FINALIZACIÓN: 12:00 PM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6"/>
              </w:numPr>
              <w:spacing w:line="276" w:lineRule="auto"/>
              <w:ind w:left="425.19685039370086" w:hanging="283.464566929134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Realización de PRE TEST para evaluar conocimientos previos.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Capacitación Referencia y Contrareferencia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spacing w:line="276" w:lineRule="auto"/>
              <w:ind w:left="425.19685039370086" w:hanging="283.464566929134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Realización de POS TEST para concluir conocimiento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Preguntas acerca del 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Cierre de la capacitación</w:t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jkatl0ntg8ng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DESARROLLO DE LA REUNIÓN</w:t>
            </w:r>
          </w:p>
          <w:p w:rsidR="00000000" w:rsidDel="00000000" w:rsidP="00000000" w:rsidRDefault="00000000" w:rsidRPr="00000000" w14:paraId="0000003A">
            <w:pPr>
              <w:spacing w:after="240" w:before="240" w:line="24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11:00 a.m.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del día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29 de octubre de 2025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se dio inicio a la capacitación institucional orientada al fortalecimiento del conocimiento en el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proceso de Referencia y Contrarreferencia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dirigida al personal de salud de la IPS.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PRESTEST: </w:t>
            </w: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2"/>
                  <w:szCs w:val="22"/>
                  <w:u w:val="single"/>
                  <w:rtl w:val="0"/>
                </w:rPr>
                <w:t xml:space="preserve">https://forms.gle/nm9yHgkGTwsY9igQ7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4"/>
              <w:keepNext w:val="0"/>
              <w:keepLines w:val="0"/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b3crgyf861n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1. Introducción</w:t>
            </w:r>
          </w:p>
          <w:p w:rsidR="00000000" w:rsidDel="00000000" w:rsidP="00000000" w:rsidRDefault="00000000" w:rsidRPr="00000000" w14:paraId="0000003E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explicó que el proceso de referencia y contrarreferencia constituye un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mecanismo técnico-administrativo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que garantiza la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accesibilidad, oportunidad, integralidad y continuidad en la atención del paciente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conforme a los lineamientos del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Sistema Obligatorio de Garantía de Calidad en Salud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(Decreto 780 de 2016 y Resolución 3100 de 2019).</w:t>
            </w:r>
          </w:p>
          <w:p w:rsidR="00000000" w:rsidDel="00000000" w:rsidP="00000000" w:rsidRDefault="00000000" w:rsidRPr="00000000" w14:paraId="0000003F">
            <w:pPr>
              <w:pStyle w:val="Heading4"/>
              <w:keepNext w:val="0"/>
              <w:keepLines w:val="0"/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pq1457tyr8dc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2. Desarrollo del tema</w:t>
            </w:r>
          </w:p>
          <w:p w:rsidR="00000000" w:rsidDel="00000000" w:rsidP="00000000" w:rsidRDefault="00000000" w:rsidRPr="00000000" w14:paraId="00000040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Basado en el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22"/>
                <w:szCs w:val="22"/>
                <w:rtl w:val="0"/>
              </w:rPr>
              <w:t xml:space="preserve">Manual de Referencia y Contrarreferencia institucional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se abordaron los siguientes contenidos: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Definición de referencia: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envío del paciente o ayudas diagnósticas a otro prestador con el nivel de complejidad requerido para complementar su atención.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Definición de contrarreferencia: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respuesta del prestador receptor que retorna la información o al paciente con las indicaciones correspondientes.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del proceso: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asegurar la continuidad del tratamiento y el flujo adecuado de información clínica entre los diferentes niveles de atención.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Registros requeridos: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todo evento de referencia o contrarreferencia debe documentarse en la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historia clínica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incluyendo fecha, motivo, entidad receptora, medio de transporte y responsable del traslado.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Canales de comunicación: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el procedimiento debe establecer rutas claras y contactos entre IPS, EAPB y servicios de transporte asistencial.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Medidas para el traslado del paciente: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8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Verificar condiciones de estabilidad antes del traslado.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8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Contar con acompañante responsable.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8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Registrar la solicitud y confirmación en la historia clínica.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8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Cumplir con la dotación mínima exigida en el transporte asistencial.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Aspectos éticos y administrativos: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8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Brindar trato humanizado y sin discriminación.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8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 ofrecer ni recibir dinero o incentivos durante el proceso.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8"/>
              </w:numPr>
              <w:spacing w:after="24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Reconocimiento de los servicios conforme a la normatividad vigente.</w:t>
            </w:r>
          </w:p>
          <w:p w:rsidR="00000000" w:rsidDel="00000000" w:rsidP="00000000" w:rsidRDefault="00000000" w:rsidRPr="00000000" w14:paraId="0000004F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hizo referencia a la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Circular 121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que busca optimizar la comunicación entre EAPB, IPS y entidades de transporte asistencial en Ibagué, garantizando la articulación y oportunidad en los traslados.</w:t>
            </w:r>
          </w:p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6sk6ukahrb9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3. Evaluación y resultados</w:t>
            </w:r>
          </w:p>
          <w:p w:rsidR="00000000" w:rsidDel="00000000" w:rsidP="00000000" w:rsidRDefault="00000000" w:rsidRPr="00000000" w14:paraId="00000051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Durante la sesión se aplicó una evaluación tipo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pre-test y post-test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con preguntas de selección múltiple para medir el nivel de conocimiento antes y después de la capacitación.</w:t>
              <w:br w:type="textWrapping"/>
              <w:t xml:space="preserve">Los resultados demostraron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mejoría en la comprensión de las etapas del proceso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los requisitos de registro y la responsabilidad institucional frente a la continuidad del cuidado del paciente.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Se envía Pos test evaluativo para su diligenciamiento.  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0"/>
                  <w:szCs w:val="20"/>
                  <w:u w:val="single"/>
                  <w:rtl w:val="0"/>
                </w:rPr>
                <w:t xml:space="preserve">https://forms.gle/LM6ebCnYVb2HgUKt6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bookmarkStart w:colFirst="0" w:colLast="0" w:name="_heading=h.6yv34lvodwxk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9zn4rjlkn0m5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1wcuf92jwcy9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1 punto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vcm1oz7n657e" w:id="7"/>
            <w:bookmarkEnd w:id="7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20 (5 preguntas por participante)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8"/>
            <w:bookmarkEnd w:id="8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5C">
            <w:pPr>
              <w:spacing w:after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pghh0ay78glw" w:id="9"/>
            <w:bookmarkEnd w:id="9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809197" cy="1348415"/>
                  <wp:effectExtent b="0" l="0" r="0" t="0"/>
                  <wp:docPr descr="Gráfico de las respuestas de Formularios. Título de la pregunta: 1) ¿Cuál es la definición correcta de farmacovigilancia?. Número de respuestas: 4/4 respuestas correctas." id="161" name="image9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) ¿Cuál es la definición correcta de farmacovigilancia?. Número de respuestas: 4/4 respuestas correctas."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197" cy="1348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809197" cy="1348415"/>
                  <wp:effectExtent b="0" l="0" r="0" t="0"/>
                  <wp:docPr descr="Gráfico de las respuestas de Formularios. Título de la pregunta: 1) ¿Cuál es la definición correcta de farmacovigilancia?. Número de respuestas: 4/4 respuestas correctas." id="163" name="image9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) ¿Cuál es la definición correcta de farmacovigilancia?. Número de respuestas: 4/4 respuestas correctas."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197" cy="1348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5F">
            <w:pPr>
              <w:spacing w:after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kjh1s8seg218" w:id="10"/>
            <w:bookmarkEnd w:id="10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603227" cy="1240409"/>
                  <wp:effectExtent b="0" l="0" r="0" t="0"/>
                  <wp:docPr descr="Gráfico de las respuestas de Formularios. Título de la pregunta: 2) ¿Qué se debe reportar en farmacovigilancia?. Número de respuestas: 4/4 respuestas correctas." id="162" name="image3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) ¿Qué se debe reportar en farmacovigilancia?. Número de respuestas: 4/4 respuestas correctas.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227" cy="1240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603227" cy="1240409"/>
                  <wp:effectExtent b="0" l="0" r="0" t="0"/>
                  <wp:docPr descr="Gráfico de las respuestas de Formularios. Título de la pregunta: 2) ¿Qué se debe reportar en farmacovigilancia?. Número de respuestas: 4/4 respuestas correctas." id="165" name="image3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) ¿Qué se debe reportar en farmacovigilancia?. Número de respuestas: 4/4 respuestas correctas.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227" cy="1240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(33,3%)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63">
            <w:pPr>
              <w:spacing w:after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fqfbpamsrzko" w:id="11"/>
            <w:bookmarkEnd w:id="1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592388" cy="1232297"/>
                  <wp:effectExtent b="0" l="0" r="0" t="0"/>
                  <wp:docPr descr="Gráfico de las respuestas de Formularios. Título de la pregunta: 3) ¿Quiénes pueden reportar eventos adversos a medicamentos?&#10;. Número de respuestas: 4/4 respuestas correctas." id="164" name="image11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) ¿Quiénes pueden reportar eventos adversos a medicamentos?&#10;. Número de respuestas: 4/4 respuestas correctas."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88" cy="1232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592388" cy="1232297"/>
                  <wp:effectExtent b="0" l="0" r="0" t="0"/>
                  <wp:docPr descr="Gráfico de las respuestas de Formularios. Título de la pregunta: 3) ¿Quiénes pueden reportar eventos adversos a medicamentos?&#10;. Número de respuestas: 4/4 respuestas correctas." id="167" name="image11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) ¿Quiénes pueden reportar eventos adversos a medicamentos?&#10;. Número de respuestas: 4/4 respuestas correctas."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88" cy="1232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4 preguntas planteadas (50%)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67">
            <w:pPr>
              <w:spacing w:after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0v7685hzw7p" w:id="12"/>
            <w:bookmarkEnd w:id="12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354263" cy="1195582"/>
                  <wp:effectExtent b="0" l="0" r="0" t="0"/>
                  <wp:docPr descr="Gráfico de las respuestas de Formularios. Título de la pregunta: 4) ¿Dónde se consultan las alertas sanitarias e informes de seguridad de medicamentos del INVIMA?. Número de respuestas: 2/4 respuestas correctas." id="166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) ¿Dónde se consultan las alertas sanitarias e informes de seguridad de medicamentos del INVIMA?. Número de respuestas: 2/4 respuestas correctas."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263" cy="11955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588625" cy="1314600"/>
                  <wp:effectExtent b="0" l="0" r="0" t="0"/>
                  <wp:docPr descr="Gráfico de las respuestas de Formularios. Título de la pregunta: 4) ¿Dónde se consultan las alertas sanitarias e informes de seguridad de medicamentos del INVIMA?. Número de respuestas: 4/4 respuestas correctas." id="169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) ¿Dónde se consultan las alertas sanitarias e informes de seguridad de medicamentos del INVIMA?. Número de respuestas: 4/4 respuestas correctas."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625" cy="13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4 preguntas planteadas (50%)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3 respuestas correctas / 4 preguntas planteadas (75%)</w:t>
            </w:r>
          </w:p>
          <w:p w:rsidR="00000000" w:rsidDel="00000000" w:rsidP="00000000" w:rsidRDefault="00000000" w:rsidRPr="00000000" w14:paraId="0000006B">
            <w:pPr>
              <w:spacing w:after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gfu1ouiyaxhk" w:id="13"/>
            <w:bookmarkEnd w:id="13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3021962" cy="1439932"/>
                  <wp:effectExtent b="0" l="0" r="0" t="0"/>
                  <wp:docPr descr="Gráfico de las respuestas de Formularios. Título de la pregunta: 5) ¿Qué es tecnovigilancia?&#10;. Número de respuestas: 2/4 respuestas correctas." id="168" name="image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) ¿Qué es tecnovigilancia?&#10;. Número de respuestas: 2/4 respuestas correctas."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962" cy="14399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695797" cy="1284518"/>
                  <wp:effectExtent b="0" l="0" r="0" t="0"/>
                  <wp:docPr descr="Gráfico de las respuestas de Formularios. Título de la pregunta: 5) ¿Qué es tecnovigilancia?&#10;. Número de respuestas: 3/4 respuestas correctas." id="170" name="image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) ¿Qué es tecnovigilancia?&#10;. Número de respuestas: 3/4 respuestas correctas."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797" cy="1284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NFORME DE ADHERENCIA A CAPACITACIÓN </w:t>
            </w:r>
          </w:p>
          <w:p w:rsidR="00000000" w:rsidDel="00000000" w:rsidP="00000000" w:rsidRDefault="00000000" w:rsidRPr="00000000" w14:paraId="0000006D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14"/>
            <w:bookmarkEnd w:id="14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12 respuestas correctas de 20 preguntas planteadas (80% de cumplimiento).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20 respuestas correctas de 20 preguntas planteadas (100% de cumplimiento).</w:t>
            </w:r>
          </w:p>
          <w:p w:rsidR="00000000" w:rsidDel="00000000" w:rsidP="00000000" w:rsidRDefault="00000000" w:rsidRPr="00000000" w14:paraId="00000070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inicialmente, los colaboradores tenían errores recurrentes en 3 de las 5 preguntas planteadas por persona, lo que refleja un nivel de conocimiento parcial del tema antes de la capacitación. Sin embargo, tras el proceso formativo, lograron responder correctamente el 100% de las preguntas, validando la efectividad de la capacitación.</w:t>
            </w:r>
          </w:p>
          <w:p w:rsidR="00000000" w:rsidDel="00000000" w:rsidP="00000000" w:rsidRDefault="00000000" w:rsidRPr="00000000" w14:paraId="00000071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Heading4"/>
              <w:keepNext w:val="0"/>
              <w:keepLines w:val="0"/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hp0kn8q4d6b1" w:id="15"/>
            <w:bookmarkEnd w:id="15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4. Cierre</w:t>
            </w:r>
          </w:p>
          <w:p w:rsidR="00000000" w:rsidDel="00000000" w:rsidP="00000000" w:rsidRDefault="00000000" w:rsidRPr="00000000" w14:paraId="00000073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Al finalizar, se resolvieron inquietudes sobre la documentación requerida y la trazabilidad del proceso, enfatizando la importancia de mantener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comunicación efectiva entre niveles de atención y actores del sistema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.</w:t>
              <w:br w:type="textWrapping"/>
              <w:t xml:space="preserve">Se dejó como compromiso revisar y actualizar el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procedimiento institucional de referencia y contrarreferencia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conforme al manual y la normativa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ind w:left="0"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3060"/>
        <w:gridCol w:w="2475"/>
        <w:tblGridChange w:id="0">
          <w:tblGrid>
            <w:gridCol w:w="4245"/>
            <w:gridCol w:w="3060"/>
            <w:gridCol w:w="247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201613</wp:posOffset>
                  </wp:positionH>
                  <wp:positionV relativeFrom="paragraph">
                    <wp:posOffset>114300</wp:posOffset>
                  </wp:positionV>
                  <wp:extent cx="923925" cy="312315"/>
                  <wp:effectExtent b="0" l="0" r="0" t="0"/>
                  <wp:wrapNone/>
                  <wp:docPr id="160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12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Melanie Veloza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Auxiliar Administrativo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115888</wp:posOffset>
                  </wp:positionH>
                  <wp:positionV relativeFrom="paragraph">
                    <wp:posOffset>114300</wp:posOffset>
                  </wp:positionV>
                  <wp:extent cx="1019175" cy="388515"/>
                  <wp:effectExtent b="0" l="0" r="0" t="0"/>
                  <wp:wrapNone/>
                  <wp:docPr id="15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8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88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Samira Navarro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317500"/>
                  <wp:effectExtent b="0" l="0" r="0" t="0"/>
                  <wp:docPr id="17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Dalia Martinez Cardeño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457200"/>
                  <wp:effectExtent b="0" l="0" r="0" t="0"/>
                  <wp:docPr id="17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before="12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1268413" cy="457200"/>
                  <wp:effectExtent b="0" l="0" r="0" t="0"/>
                  <wp:docPr id="17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413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ind w:hanging="2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sdt>
    <w:sdtPr>
      <w:lock w:val="contentLocked"/>
      <w:id w:val="-422630655"/>
      <w:tag w:val="goog_rdk_0"/>
    </w:sdtPr>
    <w:sdtContent>
      <w:tbl>
        <w:tblPr>
          <w:tblStyle w:val="Table9"/>
          <w:tblW w:w="9750.0" w:type="dxa"/>
          <w:jc w:val="left"/>
          <w:tblInd w:w="-498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1875"/>
          <w:gridCol w:w="2130"/>
          <w:gridCol w:w="2340"/>
          <w:gridCol w:w="1425"/>
          <w:gridCol w:w="1980"/>
          <w:tblGridChange w:id="0">
            <w:tblGrid>
              <w:gridCol w:w="1875"/>
              <w:gridCol w:w="2130"/>
              <w:gridCol w:w="2340"/>
              <w:gridCol w:w="1425"/>
              <w:gridCol w:w="198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9E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Elaborado</w:t>
              </w:r>
            </w:p>
          </w:tc>
          <w:tc>
            <w:tcPr/>
            <w:p w:rsidR="00000000" w:rsidDel="00000000" w:rsidP="00000000" w:rsidRDefault="00000000" w:rsidRPr="00000000" w14:paraId="0000009F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Revisado</w:t>
              </w:r>
            </w:p>
          </w:tc>
          <w:tc>
            <w:tcPr/>
            <w:p w:rsidR="00000000" w:rsidDel="00000000" w:rsidP="00000000" w:rsidRDefault="00000000" w:rsidRPr="00000000" w14:paraId="000000A0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Aprobado</w:t>
              </w:r>
            </w:p>
          </w:tc>
          <w:tc>
            <w:tcPr/>
            <w:p w:rsidR="00000000" w:rsidDel="00000000" w:rsidP="00000000" w:rsidRDefault="00000000" w:rsidRPr="00000000" w14:paraId="000000A1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Actualización</w:t>
              </w:r>
            </w:p>
          </w:tc>
          <w:tc>
            <w:tcPr/>
            <w:p w:rsidR="00000000" w:rsidDel="00000000" w:rsidP="00000000" w:rsidRDefault="00000000" w:rsidRPr="00000000" w14:paraId="000000A2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01 de Enero de 2025</w:t>
              </w:r>
            </w:p>
          </w:tc>
        </w:tr>
        <w:tr>
          <w:trPr>
            <w:cantSplit w:val="0"/>
            <w:tblHeader w:val="0"/>
          </w:trPr>
          <w:tc>
            <w:tcPr>
              <w:vMerge w:val="restart"/>
            </w:tcPr>
            <w:p w:rsidR="00000000" w:rsidDel="00000000" w:rsidP="00000000" w:rsidRDefault="00000000" w:rsidRPr="00000000" w14:paraId="000000A3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A4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A5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A6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yellow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A7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  <w:rtl w:val="0"/>
                </w:rPr>
                <w:t xml:space="preserve">Carlos Vizcaino</w:t>
              </w:r>
            </w:p>
            <w:p w:rsidR="00000000" w:rsidDel="00000000" w:rsidP="00000000" w:rsidRDefault="00000000" w:rsidRPr="00000000" w14:paraId="000000A8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Gerente</w:t>
              </w:r>
            </w:p>
          </w:tc>
          <w:tc>
            <w:tcPr/>
            <w:p w:rsidR="00000000" w:rsidDel="00000000" w:rsidP="00000000" w:rsidRDefault="00000000" w:rsidRPr="00000000" w14:paraId="000000A9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Versión</w:t>
              </w:r>
            </w:p>
          </w:tc>
          <w:tc>
            <w:tcPr/>
            <w:p w:rsidR="00000000" w:rsidDel="00000000" w:rsidP="00000000" w:rsidRDefault="00000000" w:rsidRPr="00000000" w14:paraId="000000AA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002</w:t>
              </w:r>
            </w:p>
          </w:tc>
        </w:tr>
        <w:tr>
          <w:trPr>
            <w:cantSplit w:val="0"/>
            <w:tblHeader w:val="0"/>
          </w:trPr>
          <w:tc>
            <w:tcPr>
              <w:vMerge w:val="continue"/>
            </w:tcPr>
            <w:p w:rsidR="00000000" w:rsidDel="00000000" w:rsidP="00000000" w:rsidRDefault="00000000" w:rsidRPr="00000000" w14:paraId="000000AB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AC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AD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E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Página</w:t>
              </w:r>
            </w:p>
          </w:tc>
          <w:tc>
            <w:tcPr/>
            <w:p w:rsidR="00000000" w:rsidDel="00000000" w:rsidP="00000000" w:rsidRDefault="00000000" w:rsidRPr="00000000" w14:paraId="000000AF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 de </w:t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NUMPAGES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B0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4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15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header" Target="header1.xml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13.jpg"/><Relationship Id="rId5" Type="http://schemas.openxmlformats.org/officeDocument/2006/relationships/styles" Target="styles.xml"/><Relationship Id="rId19" Type="http://schemas.openxmlformats.org/officeDocument/2006/relationships/image" Target="media/image4.jp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forms.gle/nm9yHgkGTwsY9igQ7" TargetMode="External"/><Relationship Id="rId8" Type="http://schemas.openxmlformats.org/officeDocument/2006/relationships/hyperlink" Target="https://forms.gle/LM6ebCnYVb2HgUKt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ZJ+vCWEYxxlxpaSLA9Y6bzRSDA==">CgMxLjAaHwoBMBIaChgICVIUChJ0YWJsZS5lcnh1MGluenZjdDMyDmguamthdGwwbnRnOG5nMg5oLjliM2NyZ3lmODYxbjIOaC5wcTE0NTd0eXI4ZGMyDmguYjZzazZ1a2FocmI5Mg5oLjZ5djM0bHZvZHd4azIOaC45em40cmpsa24wbTUyDmguMXdjdWY5Mmp3Y3k5Mg5oLnZjbTFvejduNjU3ZTIOaC5xMXh1MDduMGZ3Z2gyDmgucGdoaDBheTc4Z2x3Mg5oLmtqaDFzOHNlZzIxODIOaC5mcWZicGFtc3J6a28yDmgucTB2NzY4NWh6dzdwMg5oLmdmdTFvdWl5YXhoazIOaC5lN3JpMmhiNWRkZzYyDmguaHAwa244cTRkNmIxOAByITExQklkTjVqUVk2ZnplTmpLdlB2Q0RpRDhXREQ1eUs5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