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5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5"/>
        <w:gridCol w:w="450"/>
        <w:gridCol w:w="4200"/>
        <w:gridCol w:w="510"/>
        <w:tblGridChange w:id="0">
          <w:tblGrid>
            <w:gridCol w:w="4605"/>
            <w:gridCol w:w="450"/>
            <w:gridCol w:w="4200"/>
            <w:gridCol w:w="51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7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8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C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5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5"/>
        <w:gridCol w:w="3120"/>
        <w:gridCol w:w="3420"/>
        <w:tblGridChange w:id="0">
          <w:tblGrid>
            <w:gridCol w:w="3225"/>
            <w:gridCol w:w="3120"/>
            <w:gridCol w:w="342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D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OBJETIVO DE LA REUNIÓN: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Evaluar los aspectos normativos y de calidad relacionados con la habilitación de servicios de salud, conforme a la Resolución 3100 de 2019.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FECHA:  18 DE FEB - 2025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DE INICIO: 11:00 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ind w:left="0" w:right="-108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FINALIZACIÓN: 11:30 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3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LUGAR:  PRESENCIAL EN SEDE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Ind w:w="-5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Verificación de asistencia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 de eventos adversos</w:t>
            </w:r>
          </w:p>
        </w:tc>
      </w:tr>
      <w:tr>
        <w:trPr>
          <w:cantSplit w:val="0"/>
          <w:trHeight w:val="284.20898437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4"/>
              </w:numPr>
              <w:ind w:left="425.19685039370086" w:right="88.93700787401599" w:hanging="283.464566929134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Evaluación y adherencia sobre temas explicados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Preguntas acerca del 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Cierre de la capacitación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45"/>
        <w:gridCol w:w="705"/>
        <w:gridCol w:w="615"/>
        <w:tblGridChange w:id="0">
          <w:tblGrid>
            <w:gridCol w:w="8445"/>
            <w:gridCol w:w="705"/>
            <w:gridCol w:w="615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.2089843750000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5"/>
              </w:numPr>
              <w:spacing w:after="40" w:before="40" w:lineRule="auto"/>
              <w:ind w:left="720" w:hanging="2.0000000000000284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0.0" w:type="dxa"/>
        <w:jc w:val="left"/>
        <w:tblInd w:w="-5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numPr>
                <w:ilvl w:val="0"/>
                <w:numId w:val="7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ACTIVIDAD:</w:t>
            </w:r>
          </w:p>
          <w:p w:rsidR="00000000" w:rsidDel="00000000" w:rsidP="00000000" w:rsidRDefault="00000000" w:rsidRPr="00000000" w14:paraId="0000003A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Siendo las 11:00 am del día 18 de febrero del 2025, se inicia capacitación a los trabajadores dando a conocer que es:</w:t>
            </w:r>
          </w:p>
          <w:p w:rsidR="00000000" w:rsidDel="00000000" w:rsidP="00000000" w:rsidRDefault="00000000" w:rsidRPr="00000000" w14:paraId="0000003B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spacing w:after="20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Definición general:</w:t>
            </w:r>
          </w:p>
          <w:p w:rsidR="00000000" w:rsidDel="00000000" w:rsidP="00000000" w:rsidRDefault="00000000" w:rsidRPr="00000000" w14:paraId="0000003D">
            <w:pPr>
              <w:spacing w:after="200"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realiza socialización sobre generalidades e importancia del PGIRASA, cuáles son sus definiciones, normatividades y la nueva distribución y colocación de residuos. 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spacing w:after="20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Clasificación de residuos:</w:t>
            </w:r>
          </w:p>
          <w:p w:rsidR="00000000" w:rsidDel="00000000" w:rsidP="00000000" w:rsidRDefault="00000000" w:rsidRPr="00000000" w14:paraId="0000003F">
            <w:pPr>
              <w:spacing w:after="200"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expone y se muestran ejemplos de la clasificación de residuos de la siguiente manera: 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spacing w:after="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Residuos no peligrosos como;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8"/>
              </w:numPr>
              <w:spacing w:after="0" w:line="276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Residuos aprovechables orgánicos (caneca verde) donde se desechan restos de comidas y desechos orgánicos;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8"/>
              </w:numPr>
              <w:spacing w:after="0" w:line="276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Residuos aprovechables (caneca blanca) donde se desechan plástico, cartón, vidrio, papel y metales;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8"/>
              </w:numPr>
              <w:spacing w:after="0" w:line="276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Residuos ordinarios o inherentes (caneca negra) donde se desechan servilletas, papeles y cartones con restos de comida preparada y papeles metalizados.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9"/>
              </w:numPr>
              <w:spacing w:after="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En cuanto a la clasificación de residuos peligrosos (Canecas Rojas) se dividen 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7"/>
              </w:numPr>
              <w:spacing w:after="0" w:line="276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Residuos con riesgo biológico o infeccioso donde se desechan biosanitarios, anatomopatológicos, cortopunzantes;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7"/>
              </w:numPr>
              <w:spacing w:after="200" w:line="276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residuos radioactivos y otros residuos peligrosos donde se desechan corrosivos, reactivos, explosivos, tóxicos e inflamatorios.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200"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spacing w:after="20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Documento PGIRASA y otros:</w:t>
            </w:r>
          </w:p>
          <w:p w:rsidR="00000000" w:rsidDel="00000000" w:rsidP="00000000" w:rsidRDefault="00000000" w:rsidRPr="00000000" w14:paraId="00000049">
            <w:pPr>
              <w:spacing w:after="200"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hace énfasis sobre los protocolos, manuales y registros que encontramos aquí, adicional se habla sobre la adecuada distribución, como cambiaron los colores y como se deben distribuir las funciones según el personal a cargo de estas tareas.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2464549</wp:posOffset>
                  </wp:positionH>
                  <wp:positionV relativeFrom="paragraph">
                    <wp:posOffset>723900</wp:posOffset>
                  </wp:positionV>
                  <wp:extent cx="1459751" cy="1609725"/>
                  <wp:effectExtent b="0" l="0" r="0" t="0"/>
                  <wp:wrapNone/>
                  <wp:docPr id="115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8270" l="40175" r="40175" t="53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751" cy="1609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4048125</wp:posOffset>
                  </wp:positionH>
                  <wp:positionV relativeFrom="paragraph">
                    <wp:posOffset>723900</wp:posOffset>
                  </wp:positionV>
                  <wp:extent cx="1390650" cy="1610753"/>
                  <wp:effectExtent b="0" l="0" r="0" t="0"/>
                  <wp:wrapNone/>
                  <wp:docPr id="115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18353" l="40260" r="40260" t="41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6107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895350</wp:posOffset>
                  </wp:positionH>
                  <wp:positionV relativeFrom="paragraph">
                    <wp:posOffset>723900</wp:posOffset>
                  </wp:positionV>
                  <wp:extent cx="1390650" cy="1600748"/>
                  <wp:effectExtent b="0" l="0" r="0" t="0"/>
                  <wp:wrapNone/>
                  <wp:docPr id="115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45551" l="40338" r="40010" t="14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6007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A">
            <w:pPr>
              <w:spacing w:after="240"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40"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ind w:firstLine="0"/>
              <w:jc w:val="center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ind w:firstLine="0"/>
              <w:jc w:val="center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finaliza realizando la evaluación de los conocimientos previos y se hace la socialización de las respuestas.</w:t>
            </w:r>
          </w:p>
          <w:p w:rsidR="00000000" w:rsidDel="00000000" w:rsidP="00000000" w:rsidRDefault="00000000" w:rsidRPr="00000000" w14:paraId="00000051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8"/>
              </w:numPr>
              <w:spacing w:after="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xy2s5zshkwf2" w:id="0"/>
            <w:bookmarkEnd w:id="0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ANÁLISIS DE EVALUACIÓN / PRE-TEST Y POST-TEST</w:t>
            </w:r>
          </w:p>
          <w:p w:rsidR="00000000" w:rsidDel="00000000" w:rsidP="00000000" w:rsidRDefault="00000000" w:rsidRPr="00000000" w14:paraId="00000053">
            <w:pPr>
              <w:spacing w:after="200"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4b5j7qjecauz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Antes de iniciar la capacitación, se aplicó un pre-test a los participantes para identificar su nivel inicial de conocimiento. Tras la capacitación, se realizó un post-test con el mismo contenido para medir el aprendizaje logrado. A continuación, se detalla el comparativo entre los resultados del pre-test y el post-test: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240" w:before="240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6yv34lvodwxk" w:id="2"/>
            <w:bookmarkEnd w:id="2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DETALLE DE INFORMACIÓN DE LA EVALUACIÓN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2"/>
              </w:numPr>
              <w:spacing w:before="24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9zn4rjlkn0m5" w:id="3"/>
            <w:bookmarkEnd w:id="3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Cantidad de participantes: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2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2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1wcuf92jwcy9" w:id="4"/>
            <w:bookmarkEnd w:id="4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Puntaje asignado por respuesta correcta: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10 puntos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2"/>
              </w:numPr>
              <w:spacing w:after="24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vcm1oz7n657e" w:id="5"/>
            <w:bookmarkEnd w:id="5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Total de preguntas planteadas: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10 (5 preguntas por participante)</w:t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Comparativo Pre-Test vs Post-Test por pregunta:</w:t>
            </w:r>
          </w:p>
          <w:p w:rsidR="00000000" w:rsidDel="00000000" w:rsidP="00000000" w:rsidRDefault="00000000" w:rsidRPr="00000000" w14:paraId="00000059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1: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9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2 respuestas correctas / 2 preguntas planteadas (100%)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9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q1xu07n0fwgh" w:id="6"/>
            <w:bookmarkEnd w:id="6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2 respuestas correctas / 2 preguntas planteadas (100%)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47627</wp:posOffset>
                  </wp:positionH>
                  <wp:positionV relativeFrom="paragraph">
                    <wp:posOffset>370972</wp:posOffset>
                  </wp:positionV>
                  <wp:extent cx="2725738" cy="1298784"/>
                  <wp:effectExtent b="0" l="0" r="0" t="0"/>
                  <wp:wrapNone/>
                  <wp:docPr descr="Gráfico de las respuestas de Formularios. Título de la pregunta: 1. Que traduce la sigla PGIRASA. Número de respuestas: 2/2 respuestas correctas." id="1153" name="image5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1. Que traduce la sigla PGIRASA. Número de respuestas: 2/2 respuestas correctas."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738" cy="12987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3019425</wp:posOffset>
                  </wp:positionH>
                  <wp:positionV relativeFrom="paragraph">
                    <wp:posOffset>371475</wp:posOffset>
                  </wp:positionV>
                  <wp:extent cx="2725738" cy="1298784"/>
                  <wp:effectExtent b="0" l="0" r="0" t="0"/>
                  <wp:wrapNone/>
                  <wp:docPr descr="Gráfico de las respuestas de Formularios. Título de la pregunta: 1. Que traduce la sigla PGIRASA. Número de respuestas: 2/2 respuestas correctas." id="1152" name="image5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1. Que traduce la sigla PGIRASA. Número de respuestas: 2/2 respuestas correctas."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738" cy="12987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C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i8sw7ifcttol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i981vkowmld" w:id="8"/>
            <w:bookmarkEnd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wrfn2vwu8ie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80i56jccx4cb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2: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0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2 respuestas correctas / 2 preguntas planteadas (100%)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0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2 respuestas correctas / 2 preguntas planteadas (100%)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152400</wp:posOffset>
                  </wp:positionH>
                  <wp:positionV relativeFrom="paragraph">
                    <wp:posOffset>303795</wp:posOffset>
                  </wp:positionV>
                  <wp:extent cx="2514127" cy="1276767"/>
                  <wp:effectExtent b="0" l="0" r="0" t="0"/>
                  <wp:wrapNone/>
                  <wp:docPr descr="Gráfico de las respuestas de Formularios. Título de la pregunta: 2.  &quot;El PGIRASA nos ayuda a identificar posibles deficiencias en el manejo de los desechos hospitalarios con el fin de implementar acciones correctivas&quot; El enunciado anterior es:. Número de respuestas: 2/2 respuestas correctas." id="1155" name="image8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2.  &quot;El PGIRASA nos ayuda a identificar posibles deficiencias en el manejo de los desechos hospitalarios con el fin de implementar acciones correctivas&quot; El enunciado anterior es:. Número de respuestas: 2/2 respuestas correctas."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127" cy="12767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3124200</wp:posOffset>
                  </wp:positionH>
                  <wp:positionV relativeFrom="paragraph">
                    <wp:posOffset>304800</wp:posOffset>
                  </wp:positionV>
                  <wp:extent cx="2514127" cy="1276767"/>
                  <wp:effectExtent b="0" l="0" r="0" t="0"/>
                  <wp:wrapNone/>
                  <wp:docPr descr="Gráfico de las respuestas de Formularios. Título de la pregunta: 2.  &quot;El PGIRASA nos ayuda a identificar posibles deficiencias en el manejo de los desechos hospitalarios con el fin de implementar acciones correctivas&quot; El enunciado anterior es:. Número de respuestas: 2/2 respuestas correctas." id="1154" name="image8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2.  &quot;El PGIRASA nos ayuda a identificar posibles deficiencias en el manejo de los desechos hospitalarios con el fin de implementar acciones correctivas&quot; El enunciado anterior es:. Número de respuestas: 2/2 respuestas correctas."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127" cy="12767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3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a2md3cf951la" w:id="11"/>
            <w:bookmarkEnd w:id="1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1l36qyqubq2d" w:id="12"/>
            <w:bookmarkEnd w:id="1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45iw4lr1zbvd" w:id="13"/>
            <w:bookmarkEnd w:id="1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14"/>
                <w:szCs w:val="14"/>
              </w:rPr>
            </w:pPr>
            <w:bookmarkStart w:colFirst="0" w:colLast="0" w:name="_heading=h.ji1pgvsgpx6" w:id="14"/>
            <w:bookmarkEnd w:id="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3: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6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2 respuestas correctas / 2 preguntas planteadas (100%)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6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2 respuestas correctas / 2 preguntas planteadas (100%)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2752725</wp:posOffset>
                  </wp:positionH>
                  <wp:positionV relativeFrom="paragraph">
                    <wp:posOffset>371475</wp:posOffset>
                  </wp:positionV>
                  <wp:extent cx="2520476" cy="1279991"/>
                  <wp:effectExtent b="0" l="0" r="0" t="0"/>
                  <wp:wrapNone/>
                  <wp:docPr descr="Gráfico de las respuestas de Formularios. Título de la pregunta: 3. &quot;Cualquier material, objeto, sustancia o elemento sólido que no tiene valor de uso para quien lo genere, pero que es susceptible de aprovechamiento para su reincorporación a un proceso productivo&quot; El enunciado anterior pertenece a:. Número de respuestas: 2/2 respuestas correctas." id="1144" name="image10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3. &quot;Cualquier material, objeto, sustancia o elemento sólido que no tiene valor de uso para quien lo genere, pero que es susceptible de aprovechamiento para su reincorporación a un proceso productivo&quot; El enunciado anterior pertenece a:. Número de respuestas: 2/2 respuestas correctas." id="0" name="image1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476" cy="12799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47627</wp:posOffset>
                  </wp:positionH>
                  <wp:positionV relativeFrom="paragraph">
                    <wp:posOffset>370972</wp:posOffset>
                  </wp:positionV>
                  <wp:extent cx="2520476" cy="1279991"/>
                  <wp:effectExtent b="0" l="0" r="0" t="0"/>
                  <wp:wrapNone/>
                  <wp:docPr descr="Gráfico de las respuestas de Formularios. Título de la pregunta: 3. &quot;Cualquier material, objeto, sustancia o elemento sólido que no tiene valor de uso para quien lo genere, pero que es susceptible de aprovechamiento para su reincorporación a un proceso productivo&quot; El enunciado anterior pertenece a:. Número de respuestas: 2/2 respuestas correctas." id="1143" name="image10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3. &quot;Cualquier material, objeto, sustancia o elemento sólido que no tiene valor de uso para quien lo genere, pero que es susceptible de aprovechamiento para su reincorporación a un proceso productivo&quot; El enunciado anterior pertenece a:. Número de respuestas: 2/2 respuestas correctas." id="0" name="image1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476" cy="12799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A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xx4egess9tqj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7wzdgvitgm98" w:id="16"/>
            <w:bookmarkEnd w:id="1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bcj5duhsjnmo" w:id="17"/>
            <w:bookmarkEnd w:id="1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akffmbt3t80t" w:id="18"/>
            <w:bookmarkEnd w:id="1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4: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1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1 respuesta correcta / 2 preguntas planteadas (50%)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1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2 respuestas correctas / 2 preguntas planteadas (100%)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2847975</wp:posOffset>
                  </wp:positionH>
                  <wp:positionV relativeFrom="paragraph">
                    <wp:posOffset>285750</wp:posOffset>
                  </wp:positionV>
                  <wp:extent cx="2752725" cy="1397216"/>
                  <wp:effectExtent b="0" l="0" r="0" t="0"/>
                  <wp:wrapNone/>
                  <wp:docPr descr="Gráfico de las respuestas de Formularios. Título de la pregunta: 4. &quot;Servilletas, empaques de papel plastificado, barrido, colillas, icopor sucio, vasos desechables sucios, papel carbón, tela, minas de esfero, empaques de alimentos con residuos, Pertenecen a:. Número de respuestas: 2/2 respuestas correctas." id="1147" name="image9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4. &quot;Servilletas, empaques de papel plastificado, barrido, colillas, icopor sucio, vasos desechables sucios, papel carbón, tela, minas de esfero, empaques de alimentos con residuos, Pertenecen a:. Número de respuestas: 2/2 respuestas correctas."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13972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47627</wp:posOffset>
                  </wp:positionH>
                  <wp:positionV relativeFrom="paragraph">
                    <wp:posOffset>285247</wp:posOffset>
                  </wp:positionV>
                  <wp:extent cx="2754313" cy="1398742"/>
                  <wp:effectExtent b="0" l="0" r="0" t="0"/>
                  <wp:wrapNone/>
                  <wp:docPr descr="Gráfico de las respuestas de Formularios. Título de la pregunta: 4. &quot;Servilletas, empaques de papel plastificado, barrido, colillas, icopor sucio, vasos desechables sucios, papel carbón, tela, minas de esfero, empaques de alimentos con residuos, Pertenecen a:. Número de respuestas: 1/2 respuestas correctas." id="1145" name="image11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4. &quot;Servilletas, empaques de papel plastificado, barrido, colillas, icopor sucio, vasos desechables sucios, papel carbón, tela, minas de esfero, empaques de alimentos con residuos, Pertenecen a:. Número de respuestas: 1/2 respuestas correctas." id="0" name="image1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4313" cy="13987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1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h3xzd19ah8bw" w:id="19"/>
            <w:bookmarkEnd w:id="1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rlsqo58jwmuz" w:id="20"/>
            <w:bookmarkEnd w:id="2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i9difpqc7xkx" w:id="21"/>
            <w:bookmarkEnd w:id="2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3qbecwx5jo0n" w:id="22"/>
            <w:bookmarkEnd w:id="2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u1pjqsxgsdkf" w:id="23"/>
            <w:bookmarkEnd w:id="23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5: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2 respuestas correctas / 2 preguntas planteadas (100%)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2 respuestas correctas / 2 preguntas planteadas (100%)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2924175</wp:posOffset>
                  </wp:positionH>
                  <wp:positionV relativeFrom="paragraph">
                    <wp:posOffset>400050</wp:posOffset>
                  </wp:positionV>
                  <wp:extent cx="2513306" cy="1276350"/>
                  <wp:effectExtent b="0" l="0" r="0" t="0"/>
                  <wp:wrapNone/>
                  <wp:docPr descr="Gráfico de las respuestas de Formularios. Título de la pregunta: 5. &quot;Las características corrosivas, reactivas, explosivas, tóxicas, inflamables, infecciosas o radiactivas, puede causar algún riesgo o daño para la salud humana y el ambiente, cuando es inadecuadamente manejado&quot;. El enunciado anterior pertenece a:. Número de respuestas: 2/2 respuestas correctas." id="1146" name="image4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5. &quot;Las características corrosivas, reactivas, explosivas, tóxicas, inflamables, infecciosas o radiactivas, puede causar algún riesgo o daño para la salud humana y el ambiente, cuando es inadecuadamente manejado&quot;. El enunciado anterior pertenece a:. Número de respuestas: 2/2 respuestas correctas."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3306" cy="1276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52389</wp:posOffset>
                  </wp:positionH>
                  <wp:positionV relativeFrom="paragraph">
                    <wp:posOffset>399044</wp:posOffset>
                  </wp:positionV>
                  <wp:extent cx="2513306" cy="1276350"/>
                  <wp:effectExtent b="0" l="0" r="0" t="0"/>
                  <wp:wrapNone/>
                  <wp:docPr descr="Gráfico de las respuestas de Formularios. Título de la pregunta: 5. &quot;Las características corrosivas, reactivas, explosivas, tóxicas, inflamables, infecciosas o radiactivas, puede causar algún riesgo o daño para la salud humana y el ambiente, cuando es inadecuadamente manejado&quot;. El enunciado anterior pertenece a:. Número de respuestas: 2/2 respuestas correctas." id="1150" name="image4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5. &quot;Las características corrosivas, reactivas, explosivas, tóxicas, inflamables, infecciosas o radiactivas, puede causar algún riesgo o daño para la salud humana y el ambiente, cuando es inadecuadamente manejado&quot;. El enunciado anterior pertenece a:. Número de respuestas: 2/2 respuestas correctas."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3306" cy="1276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8">
            <w:pPr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edag3ejmxr5y" w:id="24"/>
            <w:bookmarkEnd w:id="2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uudh1n9whvzg" w:id="25"/>
            <w:bookmarkEnd w:id="2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bvl3esawvc9z" w:id="26"/>
            <w:bookmarkEnd w:id="2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sfw0ero03ga2" w:id="27"/>
            <w:bookmarkEnd w:id="2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8utrnu41tian" w:id="28"/>
            <w:bookmarkEnd w:id="2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ypg59hgiwvng" w:id="29"/>
            <w:bookmarkEnd w:id="2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7enm0iqh70lt" w:id="30"/>
            <w:bookmarkEnd w:id="3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o15vf25urnt" w:id="31"/>
            <w:bookmarkEnd w:id="3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3"/>
              </w:numPr>
              <w:spacing w:after="20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INFORME DE ADHERENCIA A CAPACITACIÓN </w:t>
            </w:r>
          </w:p>
          <w:p w:rsidR="00000000" w:rsidDel="00000000" w:rsidP="00000000" w:rsidRDefault="00000000" w:rsidRPr="00000000" w14:paraId="00000082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e7ri2hb5ddg6" w:id="32"/>
            <w:bookmarkEnd w:id="32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evidenció una mejora significativa en los conocimientos de los participantes.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4"/>
              </w:numPr>
              <w:spacing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Resultados del Pre-Test: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9 respuestas correctas de 10 preguntas planteadas (90% de cumplimiento).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4"/>
              </w:numPr>
              <w:spacing w:after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Resultados del Post-Test: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10 respuestas correctas de 10 preguntas planteadas (100% de cumplimiento).</w:t>
            </w:r>
          </w:p>
          <w:p w:rsidR="00000000" w:rsidDel="00000000" w:rsidP="00000000" w:rsidRDefault="00000000" w:rsidRPr="00000000" w14:paraId="00000085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El análisis demuestra que, inicialmente, los colaboradores tenían errores recurrentes en 1 de las 5 preguntas planteadas por persona, lo que refleja un nivel de conocimiento parcial del tema antes de la capacitación. Sin embargo, tras el proceso formativo, lograron responder correctamente el 100% de las preguntas, validando la efectividad de la capacitación.</w:t>
            </w:r>
          </w:p>
          <w:p w:rsidR="00000000" w:rsidDel="00000000" w:rsidP="00000000" w:rsidRDefault="00000000" w:rsidRPr="00000000" w14:paraId="00000086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Para verificar los resultados, cada pregunta fue analizada en detalle y acompañada de gráficas comparativas entre el pre-test y el post-test. Además, durante la capacitación, se aclararon dudas y se reforzaron conceptos clave para asegurar una adecuada comprensión.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5"/>
              </w:numPr>
              <w:tabs>
                <w:tab w:val="left" w:leader="none" w:pos="2129"/>
              </w:tabs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22"/>
                <w:szCs w:val="22"/>
                <w:rtl w:val="0"/>
              </w:rPr>
              <w:t xml:space="preserve">CIERRE.</w:t>
            </w:r>
          </w:p>
          <w:p w:rsidR="00000000" w:rsidDel="00000000" w:rsidP="00000000" w:rsidRDefault="00000000" w:rsidRPr="00000000" w14:paraId="00000088">
            <w:pPr>
              <w:tabs>
                <w:tab w:val="left" w:leader="none" w:pos="2129"/>
              </w:tabs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Siendo las 11:30 a.m. La asesora del área de calidad agradece a los presentes por su participación en la capacitación.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75"/>
        <w:gridCol w:w="2325"/>
        <w:gridCol w:w="2265"/>
        <w:tblGridChange w:id="0">
          <w:tblGrid>
            <w:gridCol w:w="5175"/>
            <w:gridCol w:w="2325"/>
            <w:gridCol w:w="2265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PRÓXIMA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numPr>
                <w:ilvl w:val="0"/>
                <w:numId w:val="6"/>
              </w:numPr>
              <w:spacing w:after="40" w:before="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40" w:before="40" w:lineRule="auto"/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40" w:before="40" w:lineRule="auto"/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5851525</wp:posOffset>
            </wp:positionH>
            <wp:positionV relativeFrom="page">
              <wp:posOffset>8367857</wp:posOffset>
            </wp:positionV>
            <wp:extent cx="923925" cy="396814"/>
            <wp:effectExtent b="0" l="0" r="0" t="0"/>
            <wp:wrapNone/>
            <wp:docPr id="114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3968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9780.0" w:type="dxa"/>
        <w:jc w:val="left"/>
        <w:tblInd w:w="-6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45"/>
        <w:gridCol w:w="3060"/>
        <w:gridCol w:w="2475"/>
        <w:tblGridChange w:id="0">
          <w:tblGrid>
            <w:gridCol w:w="4245"/>
            <w:gridCol w:w="3060"/>
            <w:gridCol w:w="2475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93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ASISTENTES A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NOMBRES Y APELLIDOS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Carlos Javier Vizcaino Guerrero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Medico Especialista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Melanie Veloza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Auxiliar Administrativo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342900</wp:posOffset>
                  </wp:positionH>
                  <wp:positionV relativeFrom="paragraph">
                    <wp:posOffset>114300</wp:posOffset>
                  </wp:positionV>
                  <wp:extent cx="760412" cy="441311"/>
                  <wp:effectExtent b="0" l="0" r="0" t="0"/>
                  <wp:wrapNone/>
                  <wp:docPr id="114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8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412" cy="4413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832.4609375000001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Kelly Dayana Canacue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Asesor de calidad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spacing w:before="12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</w:rPr>
              <w:drawing>
                <wp:inline distB="114300" distT="114300" distL="114300" distR="114300">
                  <wp:extent cx="675322" cy="325744"/>
                  <wp:effectExtent b="0" l="0" r="0" t="0"/>
                  <wp:docPr id="115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322" cy="3257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9"/>
      <w:tblW w:w="9750.0" w:type="dxa"/>
      <w:jc w:val="left"/>
      <w:tblInd w:w="-49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875"/>
      <w:gridCol w:w="2130"/>
      <w:gridCol w:w="2340"/>
      <w:gridCol w:w="1425"/>
      <w:gridCol w:w="1980"/>
      <w:tblGridChange w:id="0">
        <w:tblGrid>
          <w:gridCol w:w="1875"/>
          <w:gridCol w:w="2130"/>
          <w:gridCol w:w="2340"/>
          <w:gridCol w:w="1425"/>
          <w:gridCol w:w="198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AE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Elaborado</w:t>
          </w:r>
        </w:p>
      </w:tc>
      <w:tc>
        <w:tcPr/>
        <w:p w:rsidR="00000000" w:rsidDel="00000000" w:rsidP="00000000" w:rsidRDefault="00000000" w:rsidRPr="00000000" w14:paraId="000000AF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Revisado</w:t>
          </w:r>
        </w:p>
      </w:tc>
      <w:tc>
        <w:tcPr/>
        <w:p w:rsidR="00000000" w:rsidDel="00000000" w:rsidP="00000000" w:rsidRDefault="00000000" w:rsidRPr="00000000" w14:paraId="000000B0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Aprobado</w:t>
          </w:r>
        </w:p>
      </w:tc>
      <w:tc>
        <w:tcPr/>
        <w:p w:rsidR="00000000" w:rsidDel="00000000" w:rsidP="00000000" w:rsidRDefault="00000000" w:rsidRPr="00000000" w14:paraId="000000B1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Actualización</w:t>
          </w:r>
        </w:p>
      </w:tc>
      <w:tc>
        <w:tcPr/>
        <w:p w:rsidR="00000000" w:rsidDel="00000000" w:rsidP="00000000" w:rsidRDefault="00000000" w:rsidRPr="00000000" w14:paraId="000000B2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01 de Enero de 2025</w:t>
          </w:r>
        </w:p>
      </w:tc>
    </w:tr>
    <w:tr>
      <w:trPr>
        <w:cantSplit w:val="0"/>
        <w:tblHeader w:val="0"/>
      </w:trPr>
      <w:tc>
        <w:tcPr>
          <w:vMerge w:val="restart"/>
        </w:tcPr>
        <w:p w:rsidR="00000000" w:rsidDel="00000000" w:rsidP="00000000" w:rsidRDefault="00000000" w:rsidRPr="00000000" w14:paraId="000000B3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Kelly Canacue</w:t>
          </w:r>
        </w:p>
        <w:p w:rsidR="00000000" w:rsidDel="00000000" w:rsidP="00000000" w:rsidRDefault="00000000" w:rsidRPr="00000000" w14:paraId="000000B4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Líder de calidad</w:t>
          </w:r>
        </w:p>
      </w:tc>
      <w:tc>
        <w:tcPr>
          <w:vMerge w:val="restart"/>
        </w:tcPr>
        <w:p w:rsidR="00000000" w:rsidDel="00000000" w:rsidP="00000000" w:rsidRDefault="00000000" w:rsidRPr="00000000" w14:paraId="000000B5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Kelly Canacue</w:t>
          </w:r>
        </w:p>
        <w:p w:rsidR="00000000" w:rsidDel="00000000" w:rsidP="00000000" w:rsidRDefault="00000000" w:rsidRPr="00000000" w14:paraId="000000B6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  <w:highlight w:val="yellow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Líder de calidad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0B7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highlight w:val="white"/>
              <w:rtl w:val="0"/>
            </w:rPr>
            <w:t xml:space="preserve">Carlos Vizcaino</w:t>
          </w:r>
        </w:p>
        <w:p w:rsidR="00000000" w:rsidDel="00000000" w:rsidP="00000000" w:rsidRDefault="00000000" w:rsidRPr="00000000" w14:paraId="000000B8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Profesional Independiente</w:t>
          </w:r>
        </w:p>
      </w:tc>
      <w:tc>
        <w:tcPr/>
        <w:p w:rsidR="00000000" w:rsidDel="00000000" w:rsidP="00000000" w:rsidRDefault="00000000" w:rsidRPr="00000000" w14:paraId="000000B9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Versión</w:t>
          </w:r>
        </w:p>
      </w:tc>
      <w:tc>
        <w:tcPr/>
        <w:p w:rsidR="00000000" w:rsidDel="00000000" w:rsidP="00000000" w:rsidRDefault="00000000" w:rsidRPr="00000000" w14:paraId="000000BA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002</w:t>
          </w:r>
        </w:p>
      </w:tc>
    </w:tr>
    <w:tr>
      <w:trPr>
        <w:cantSplit w:val="0"/>
        <w:tblHeader w:val="0"/>
      </w:trPr>
      <w:tc>
        <w:tcPr>
          <w:vMerge w:val="continue"/>
        </w:tcPr>
        <w:p w:rsidR="00000000" w:rsidDel="00000000" w:rsidP="00000000" w:rsidRDefault="00000000" w:rsidRPr="00000000" w14:paraId="000000B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B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B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E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Página</w:t>
          </w:r>
        </w:p>
      </w:tc>
      <w:tc>
        <w:tcPr/>
        <w:p w:rsidR="00000000" w:rsidDel="00000000" w:rsidP="00000000" w:rsidRDefault="00000000" w:rsidRPr="00000000" w14:paraId="000000BF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rFonts w:ascii="Century Gothic" w:cs="Century Gothic" w:eastAsia="Century Gothic" w:hAnsi="Century Gothic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8"/>
      <w:tblW w:w="9750.0" w:type="dxa"/>
      <w:jc w:val="left"/>
      <w:tblInd w:w="-58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670"/>
      <w:gridCol w:w="4350"/>
      <w:gridCol w:w="2730"/>
      <w:tblGridChange w:id="0">
        <w:tblGrid>
          <w:gridCol w:w="2670"/>
          <w:gridCol w:w="4350"/>
          <w:gridCol w:w="2730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A4">
          <w:pPr>
            <w:tabs>
              <w:tab w:val="right" w:leader="none" w:pos="9003"/>
            </w:tabs>
            <w:ind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114300" distT="114300" distL="114300" distR="114300">
                <wp:extent cx="1562100" cy="546100"/>
                <wp:effectExtent b="0" l="0" r="0" t="0"/>
                <wp:docPr id="115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100" cy="546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5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6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A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CIDTPA-TH-FO-043</w:t>
          </w:r>
        </w:p>
      </w:tc>
    </w:tr>
  </w:tbl>
  <w:p w:rsidR="00000000" w:rsidDel="00000000" w:rsidP="00000000" w:rsidRDefault="00000000" w:rsidRPr="00000000" w14:paraId="000000A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8.png"/><Relationship Id="rId13" Type="http://schemas.openxmlformats.org/officeDocument/2006/relationships/image" Target="media/image1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.jpg"/><Relationship Id="rId14" Type="http://schemas.openxmlformats.org/officeDocument/2006/relationships/image" Target="media/image4.png"/><Relationship Id="rId17" Type="http://schemas.openxmlformats.org/officeDocument/2006/relationships/image" Target="media/image1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nGJ+75hsJNboDJ38Ujzg2M2mkw==">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