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0" w:hanging="2"/>
        <w:rPr>
          <w:rFonts w:ascii="Arial" w:cs="Arial" w:eastAsia="Arial" w:hAnsi="Arial"/>
          <w:color w:val="000000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65.0" w:type="dxa"/>
        <w:jc w:val="left"/>
        <w:tblInd w:w="-55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05"/>
        <w:gridCol w:w="450"/>
        <w:gridCol w:w="4200"/>
        <w:gridCol w:w="510"/>
        <w:tblGridChange w:id="0">
          <w:tblGrid>
            <w:gridCol w:w="4605"/>
            <w:gridCol w:w="450"/>
            <w:gridCol w:w="4200"/>
            <w:gridCol w:w="510"/>
          </w:tblGrid>
        </w:tblGridChange>
      </w:tblGrid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5">
            <w:pPr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TIPO DE REUNIÓN “Marque con una X”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Comité </w:t>
            </w:r>
          </w:p>
        </w:tc>
        <w:tc>
          <w:tcPr/>
          <w:p w:rsidR="00000000" w:rsidDel="00000000" w:rsidP="00000000" w:rsidRDefault="00000000" w:rsidRPr="00000000" w14:paraId="0000000A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Auditoría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Reunión interna</w:t>
            </w:r>
          </w:p>
        </w:tc>
        <w:tc>
          <w:tcPr/>
          <w:p w:rsidR="00000000" w:rsidDel="00000000" w:rsidP="00000000" w:rsidRDefault="00000000" w:rsidRPr="00000000" w14:paraId="0000000E">
            <w:pPr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Capacitación</w:t>
            </w:r>
          </w:p>
        </w:tc>
        <w:tc>
          <w:tcPr/>
          <w:p w:rsidR="00000000" w:rsidDel="00000000" w:rsidP="00000000" w:rsidRDefault="00000000" w:rsidRPr="00000000" w14:paraId="00000010">
            <w:pPr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Reunión Personal</w:t>
            </w:r>
          </w:p>
        </w:tc>
        <w:tc>
          <w:tcPr/>
          <w:p w:rsidR="00000000" w:rsidDel="00000000" w:rsidP="00000000" w:rsidRDefault="00000000" w:rsidRPr="00000000" w14:paraId="00000012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Junta Directiva </w:t>
            </w:r>
          </w:p>
        </w:tc>
        <w:tc>
          <w:tcPr/>
          <w:p w:rsidR="00000000" w:rsidDel="00000000" w:rsidP="00000000" w:rsidRDefault="00000000" w:rsidRPr="00000000" w14:paraId="00000014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Reunión con cliente y/o proveedores</w:t>
            </w:r>
          </w:p>
        </w:tc>
        <w:tc>
          <w:tcPr/>
          <w:p w:rsidR="00000000" w:rsidDel="00000000" w:rsidP="00000000" w:rsidRDefault="00000000" w:rsidRPr="00000000" w14:paraId="00000016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Visita entes reguladores</w:t>
            </w:r>
          </w:p>
        </w:tc>
        <w:tc>
          <w:tcPr/>
          <w:p w:rsidR="00000000" w:rsidDel="00000000" w:rsidP="00000000" w:rsidRDefault="00000000" w:rsidRPr="00000000" w14:paraId="00000018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9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Otro, ¿Cuál? </w:t>
            </w:r>
          </w:p>
        </w:tc>
      </w:tr>
    </w:tbl>
    <w:p w:rsidR="00000000" w:rsidDel="00000000" w:rsidP="00000000" w:rsidRDefault="00000000" w:rsidRPr="00000000" w14:paraId="0000001D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65.0" w:type="dxa"/>
        <w:jc w:val="left"/>
        <w:tblInd w:w="-54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25"/>
        <w:gridCol w:w="3120"/>
        <w:gridCol w:w="3420"/>
        <w:tblGridChange w:id="0">
          <w:tblGrid>
            <w:gridCol w:w="3225"/>
            <w:gridCol w:w="3120"/>
            <w:gridCol w:w="3420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E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OBJETIVO DE LA REUNIÓN: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Evaluar los aspectos normativos y de calidad relacionados con la habilitación de servicios de salud, conforme a la Resolución 3100 de 2019.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FECHA:  15 DE FEB - 2025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HORA DE INICIO: 11:00 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ind w:left="0" w:right="-108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HORA FINALIZACIÓN: 11:30 AM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4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LUGAR:  VIRTUAL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95.0" w:type="dxa"/>
        <w:jc w:val="left"/>
        <w:tblInd w:w="-5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95"/>
        <w:tblGridChange w:id="0">
          <w:tblGrid>
            <w:gridCol w:w="97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TEMAS A TRATAR: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.208984375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numPr>
                <w:ilvl w:val="0"/>
                <w:numId w:val="2"/>
              </w:numPr>
              <w:ind w:left="425.19685039370086" w:right="88.93700787401599" w:hanging="285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Verificación de asistencia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numPr>
                <w:ilvl w:val="0"/>
                <w:numId w:val="2"/>
              </w:numPr>
              <w:ind w:left="425.19685039370086" w:right="88.93700787401599" w:hanging="285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Capacitación de Manual de Bioseguridad.</w:t>
            </w:r>
          </w:p>
        </w:tc>
      </w:tr>
      <w:tr>
        <w:trPr>
          <w:cantSplit w:val="0"/>
          <w:trHeight w:val="284.208984375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numPr>
                <w:ilvl w:val="0"/>
                <w:numId w:val="2"/>
              </w:numPr>
              <w:ind w:left="425.19685039370086" w:right="88.93700787401599" w:hanging="283.464566929134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Evaluación y adherencia sobre temas explicados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numPr>
                <w:ilvl w:val="0"/>
                <w:numId w:val="2"/>
              </w:numPr>
              <w:ind w:left="425.19685039370086" w:right="88.93700787401599" w:hanging="285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Preguntas acerca del 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numPr>
                <w:ilvl w:val="0"/>
                <w:numId w:val="2"/>
              </w:numPr>
              <w:ind w:left="425.19685039370086" w:right="88.93700787401599" w:hanging="285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Cierre de la capacitación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ind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65.0" w:type="dxa"/>
        <w:jc w:val="left"/>
        <w:tblInd w:w="-49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445"/>
        <w:gridCol w:w="705"/>
        <w:gridCol w:w="615"/>
        <w:tblGridChange w:id="0">
          <w:tblGrid>
            <w:gridCol w:w="8445"/>
            <w:gridCol w:w="705"/>
            <w:gridCol w:w="615"/>
          </w:tblGrid>
        </w:tblGridChange>
      </w:tblGrid>
      <w:tr>
        <w:trPr>
          <w:cantSplit w:val="0"/>
          <w:trHeight w:val="179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F">
            <w:pPr>
              <w:spacing w:after="40" w:before="40" w:lineRule="auto"/>
              <w:ind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COMPROMISOS ACTA 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0">
            <w:pPr>
              <w:spacing w:after="40" w:before="40" w:lineRule="auto"/>
              <w:ind w:hanging="2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CUMPLIÓ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9.2089843750000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40" w:before="40" w:lineRule="auto"/>
              <w:ind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40" w:before="40" w:lineRule="auto"/>
              <w:ind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numPr>
                <w:ilvl w:val="0"/>
                <w:numId w:val="3"/>
              </w:numPr>
              <w:spacing w:after="40" w:before="40" w:lineRule="auto"/>
              <w:ind w:left="720" w:hanging="2.0000000000000284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N/A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40" w:before="40" w:lineRule="auto"/>
              <w:ind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40" w:before="40" w:lineRule="auto"/>
              <w:ind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ind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780.0" w:type="dxa"/>
        <w:jc w:val="left"/>
        <w:tblInd w:w="-51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80"/>
        <w:tblGridChange w:id="0">
          <w:tblGrid>
            <w:gridCol w:w="97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DESARROLLO DE LA REUNION (COMENTARIOS)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numPr>
                <w:ilvl w:val="0"/>
                <w:numId w:val="7"/>
              </w:numPr>
              <w:spacing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DESARROLLO DE LA ACTIVIDAD:</w:t>
            </w:r>
          </w:p>
          <w:p w:rsidR="00000000" w:rsidDel="00000000" w:rsidP="00000000" w:rsidRDefault="00000000" w:rsidRPr="00000000" w14:paraId="0000003B">
            <w:pPr>
              <w:spacing w:line="276" w:lineRule="auto"/>
              <w:ind w:firstLine="0"/>
              <w:jc w:val="both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Siendo las 11:00 am del día 15 de febrero del 2025, se inicia capacitación a los trabajadores dando a conocer que 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4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noikk8cu0qt5" w:id="0"/>
            <w:bookmarkEnd w:id="0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Desarrollo de la Actividad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40" w:line="276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wwuyaxf147cu" w:id="1"/>
            <w:bookmarkEnd w:id="1"/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El objetivo de la actividad es capacitar al personal de salud sobre las normas y principios de bioseguridad, con el fin de minimizar riesgos biológicos, químicos y físicos en la atención sanitaria, promoviendo prácticas seguras para la protección del personal y los pacientes.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280" w:line="276" w:lineRule="auto"/>
              <w:ind w:left="720" w:right="0" w:hanging="36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ufvm1t9dhyag" w:id="2"/>
            <w:bookmarkEnd w:id="2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¿Qué es la Bioseguridad?</w:t>
            </w:r>
          </w:p>
          <w:p w:rsidR="00000000" w:rsidDel="00000000" w:rsidP="00000000" w:rsidRDefault="00000000" w:rsidRPr="00000000" w14:paraId="0000003F">
            <w:pPr>
              <w:spacing w:after="240" w:before="240" w:line="276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Se explicó el concepto de bioseguridad como el conjunto de normas y medidas diseñadas para prevenir la exposición a riesgos en el entorno de salud. Se enfatizó su importancia en la reducción de infecciones y en la protección del personal.</w:t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1590675</wp:posOffset>
                  </wp:positionH>
                  <wp:positionV relativeFrom="paragraph">
                    <wp:posOffset>819150</wp:posOffset>
                  </wp:positionV>
                  <wp:extent cx="2370137" cy="1337382"/>
                  <wp:effectExtent b="0" l="0" r="0" t="0"/>
                  <wp:wrapNone/>
                  <wp:docPr id="86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0137" cy="133738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40">
            <w:pPr>
              <w:spacing w:after="240" w:before="240" w:line="276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240" w:before="240" w:line="276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240" w:before="240" w:line="276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240" w:before="240" w:line="276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280" w:line="276" w:lineRule="auto"/>
              <w:ind w:left="720" w:right="0" w:hanging="36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dn75xwo9z09u" w:id="3"/>
            <w:bookmarkEnd w:id="3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Principios de Bioseguridad</w:t>
            </w:r>
          </w:p>
          <w:p w:rsidR="00000000" w:rsidDel="00000000" w:rsidP="00000000" w:rsidRDefault="00000000" w:rsidRPr="00000000" w14:paraId="00000045">
            <w:pPr>
              <w:spacing w:after="240" w:before="240" w:line="276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Se abordaron los tres principios fundamentales: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universalidad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(todo material biológico debe considerarse infeccioso),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uso de barreras de protección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(EPP adecuado) y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eliminación segura de residuos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para evitar contaminación cruzada.</w:t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1590675</wp:posOffset>
                  </wp:positionH>
                  <wp:positionV relativeFrom="paragraph">
                    <wp:posOffset>866153</wp:posOffset>
                  </wp:positionV>
                  <wp:extent cx="2371725" cy="1334560"/>
                  <wp:effectExtent b="0" l="0" r="0" t="0"/>
                  <wp:wrapNone/>
                  <wp:docPr id="88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1725" cy="13345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46">
            <w:pPr>
              <w:spacing w:after="240" w:before="240" w:line="276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240" w:before="240" w:line="276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240" w:before="240" w:line="276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240" w:before="240" w:line="276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280" w:line="276" w:lineRule="auto"/>
              <w:ind w:left="720" w:right="0" w:hanging="36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4o71z7b4xwfn" w:id="4"/>
            <w:bookmarkEnd w:id="4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Limpieza y Desinfección</w:t>
            </w:r>
          </w:p>
          <w:p w:rsidR="00000000" w:rsidDel="00000000" w:rsidP="00000000" w:rsidRDefault="00000000" w:rsidRPr="00000000" w14:paraId="0000004B">
            <w:pPr>
              <w:spacing w:after="240" w:before="240" w:line="276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Se diferenciaron los conceptos de limpieza (eliminación de suciedad visible) y desinfección (reducción de microorganismos en superficies y equipos), así como los niveles de desinfección: alto, intermedio y bajo.</w:t>
            </w:r>
          </w:p>
          <w:p w:rsidR="00000000" w:rsidDel="00000000" w:rsidP="00000000" w:rsidRDefault="00000000" w:rsidRPr="00000000" w14:paraId="0000004C">
            <w:pPr>
              <w:spacing w:after="240" w:before="240" w:line="276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240" w:before="240" w:line="276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1800225</wp:posOffset>
                  </wp:positionH>
                  <wp:positionV relativeFrom="paragraph">
                    <wp:posOffset>114300</wp:posOffset>
                  </wp:positionV>
                  <wp:extent cx="2367931" cy="1336136"/>
                  <wp:effectExtent b="0" l="0" r="0" t="0"/>
                  <wp:wrapNone/>
                  <wp:docPr id="8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7931" cy="13361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4E">
            <w:pPr>
              <w:spacing w:after="240" w:before="240" w:line="276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240" w:before="240" w:line="276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240" w:before="240" w:line="276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280" w:line="276" w:lineRule="auto"/>
              <w:ind w:left="360" w:right="0" w:firstLine="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sr9vo0oe7e72" w:id="5"/>
            <w:bookmarkEnd w:id="5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Tipos de Limpieza</w:t>
            </w:r>
          </w:p>
          <w:p w:rsidR="00000000" w:rsidDel="00000000" w:rsidP="00000000" w:rsidRDefault="00000000" w:rsidRPr="00000000" w14:paraId="00000052">
            <w:pPr>
              <w:spacing w:after="240" w:before="240" w:line="276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Se abordaron los dos tipos principales de limpieza en los entornos de salud: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13"/>
              </w:numPr>
              <w:spacing w:after="0" w:before="24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Limpieza Rutinaria: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Se realiza diariamente o entre pacientes para mantener las condiciones higiénicas adecuadas. Implica la eliminación de suciedad visible y la aplicación de desinfectantes según el nivel de riesgo del área.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13"/>
              </w:numPr>
              <w:spacing w:after="240" w:before="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Limpieza Terminal: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Es una limpieza más profunda y exhaustiva que se lleva a cabo de manera periódica o cuando un paciente con una enfermedad infecciosa ha sido dado de alta. Incluye la desinfección de superficies, ventilación, iluminación y almacenamiento.</w:t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1514475</wp:posOffset>
                  </wp:positionH>
                  <wp:positionV relativeFrom="paragraph">
                    <wp:posOffset>1000125</wp:posOffset>
                  </wp:positionV>
                  <wp:extent cx="2741612" cy="1534100"/>
                  <wp:effectExtent b="0" l="0" r="0" t="0"/>
                  <wp:wrapNone/>
                  <wp:docPr id="82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1612" cy="1534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55">
            <w:pPr>
              <w:spacing w:after="240" w:before="240" w:line="276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240" w:before="240" w:line="276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240" w:before="240" w:line="276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240" w:before="240" w:line="276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280" w:line="276" w:lineRule="auto"/>
              <w:ind w:left="720" w:right="0" w:hanging="36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vwsnoea0zgp1" w:id="6"/>
            <w:bookmarkEnd w:id="6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Clasificación de las Áreas</w:t>
            </w:r>
          </w:p>
          <w:p w:rsidR="00000000" w:rsidDel="00000000" w:rsidP="00000000" w:rsidRDefault="00000000" w:rsidRPr="00000000" w14:paraId="0000005A">
            <w:pPr>
              <w:spacing w:after="240" w:before="240" w:line="276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Se definieron los tipos de áreas según su nivel de riesgo: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5"/>
              </w:numPr>
              <w:spacing w:after="0" w:before="24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Áreas críticas: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Consultorios y zonas de procedimientos.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5"/>
              </w:numPr>
              <w:spacing w:after="0" w:before="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Áreas semicríticas: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Salas de espera y pasillos.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5"/>
              </w:numPr>
              <w:spacing w:after="240" w:before="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Áreas no críticas: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Oficinas y zonas administrativas.</w:t>
            </w:r>
          </w:p>
          <w:p w:rsidR="00000000" w:rsidDel="00000000" w:rsidP="00000000" w:rsidRDefault="00000000" w:rsidRPr="00000000" w14:paraId="0000005E">
            <w:pPr>
              <w:spacing w:after="240" w:before="240" w:line="276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1633537</wp:posOffset>
                  </wp:positionH>
                  <wp:positionV relativeFrom="paragraph">
                    <wp:posOffset>114300</wp:posOffset>
                  </wp:positionV>
                  <wp:extent cx="2506663" cy="1406560"/>
                  <wp:effectExtent b="0" l="0" r="0" t="0"/>
                  <wp:wrapNone/>
                  <wp:docPr id="8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6663" cy="14065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5F">
            <w:pPr>
              <w:spacing w:after="240" w:before="240" w:line="276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240" w:before="240" w:line="276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240" w:before="240" w:line="276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280" w:line="276" w:lineRule="auto"/>
              <w:ind w:left="720" w:right="0" w:hanging="36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6dfxuy337r7w" w:id="7"/>
            <w:bookmarkEnd w:id="7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Técnicas de Lavado de Manos</w:t>
            </w:r>
          </w:p>
          <w:p w:rsidR="00000000" w:rsidDel="00000000" w:rsidP="00000000" w:rsidRDefault="00000000" w:rsidRPr="00000000" w14:paraId="00000063">
            <w:pPr>
              <w:spacing w:after="240" w:before="240" w:line="276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Se reforzó la importancia del lavado de manos como la medida más efectiva para prevenir infecciones. Se explicaron las técnicas adecuadas y el uso de soluciones antisépticas.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280" w:line="276" w:lineRule="auto"/>
              <w:ind w:left="720" w:right="0" w:hanging="36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395yiq29giid" w:id="8"/>
            <w:bookmarkEnd w:id="8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Uso de Equipos de Protección Personal (EPP)</w:t>
            </w:r>
          </w:p>
          <w:p w:rsidR="00000000" w:rsidDel="00000000" w:rsidP="00000000" w:rsidRDefault="00000000" w:rsidRPr="00000000" w14:paraId="00000065">
            <w:pPr>
              <w:spacing w:after="240" w:before="240" w:line="276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Se detallaron los diferentes tipos de EPP y su correcto uso según el nivel de exposición al riesgo: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4"/>
              </w:numPr>
              <w:spacing w:after="0" w:before="24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Básicos: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Guantes, mascarilla, bata, gorro y gafas.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4"/>
              </w:numPr>
              <w:spacing w:after="0" w:before="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Avanzados: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Respiradores N95, delantales impermeables y botas de seguridad.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4"/>
              </w:numPr>
              <w:spacing w:after="240" w:before="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Específicos: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Trajes de biocontención para agentes altamente peligrosos.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280" w:line="276" w:lineRule="auto"/>
              <w:ind w:left="720" w:right="0" w:hanging="36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lesorrm81q6a" w:id="9"/>
            <w:bookmarkEnd w:id="9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Normas de Bioseguridad</w:t>
            </w:r>
          </w:p>
          <w:p w:rsidR="00000000" w:rsidDel="00000000" w:rsidP="00000000" w:rsidRDefault="00000000" w:rsidRPr="00000000" w14:paraId="0000006A">
            <w:pPr>
              <w:spacing w:after="240" w:before="240" w:line="276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Se recordaron normas esenciales como el uso adecuado del uniforme, la identificación de los pacientes, la higiene de manos y la importancia de seguir las normas de asepsia y antisepsia.</w:t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1533525</wp:posOffset>
                  </wp:positionH>
                  <wp:positionV relativeFrom="paragraph">
                    <wp:posOffset>762000</wp:posOffset>
                  </wp:positionV>
                  <wp:extent cx="2714625" cy="1205044"/>
                  <wp:effectExtent b="0" l="0" r="0" t="0"/>
                  <wp:wrapNone/>
                  <wp:docPr id="85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4625" cy="120504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6B">
            <w:pPr>
              <w:spacing w:after="240" w:before="240" w:line="276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240" w:before="240" w:line="276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240" w:before="240" w:line="276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280" w:line="276" w:lineRule="auto"/>
              <w:ind w:left="720" w:right="0" w:hanging="36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61h5bzlk4hir" w:id="10"/>
            <w:bookmarkEnd w:id="10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Manejo de Derrames</w:t>
            </w:r>
          </w:p>
          <w:p w:rsidR="00000000" w:rsidDel="00000000" w:rsidP="00000000" w:rsidRDefault="00000000" w:rsidRPr="00000000" w14:paraId="0000006F">
            <w:pPr>
              <w:spacing w:after="240" w:before="240" w:line="276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Se capacitó sobre el protocolo de manejo de derrames de fluidos corporales y medicamentos peligrosos, haciendo énfasis en el uso del Kit de Derrames de la empresa, su contenido y el procedimiento correcto de limpieza y desinfección.</w:t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4010025</wp:posOffset>
                  </wp:positionH>
                  <wp:positionV relativeFrom="paragraph">
                    <wp:posOffset>962025</wp:posOffset>
                  </wp:positionV>
                  <wp:extent cx="1866900" cy="1039305"/>
                  <wp:effectExtent b="0" l="0" r="0" t="0"/>
                  <wp:wrapNone/>
                  <wp:docPr id="84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900" cy="10393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47629</wp:posOffset>
                  </wp:positionH>
                  <wp:positionV relativeFrom="paragraph">
                    <wp:posOffset>961403</wp:posOffset>
                  </wp:positionV>
                  <wp:extent cx="1849438" cy="1052266"/>
                  <wp:effectExtent b="0" l="0" r="0" t="0"/>
                  <wp:wrapNone/>
                  <wp:docPr id="67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9438" cy="105226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2019300</wp:posOffset>
                  </wp:positionH>
                  <wp:positionV relativeFrom="paragraph">
                    <wp:posOffset>962025</wp:posOffset>
                  </wp:positionV>
                  <wp:extent cx="1869692" cy="1047750"/>
                  <wp:effectExtent b="0" l="0" r="0" t="0"/>
                  <wp:wrapNone/>
                  <wp:docPr id="6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9692" cy="1047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70">
            <w:pPr>
              <w:spacing w:after="240" w:before="0" w:line="276" w:lineRule="auto"/>
              <w:ind w:left="0" w:firstLine="0"/>
              <w:rPr>
                <w:rFonts w:ascii="Century Gothic" w:cs="Century Gothic" w:eastAsia="Century Gothic" w:hAnsi="Century Gothic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240" w:before="240" w:line="276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240" w:before="240" w:line="276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Se finaliza realizando la evaluación de los conocimientos previos y se hace la socialización de las respuestas.</w:t>
            </w:r>
          </w:p>
          <w:p w:rsidR="00000000" w:rsidDel="00000000" w:rsidP="00000000" w:rsidRDefault="00000000" w:rsidRPr="00000000" w14:paraId="00000074">
            <w:pPr>
              <w:spacing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8"/>
              </w:numPr>
              <w:spacing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bookmarkStart w:colFirst="0" w:colLast="0" w:name="_heading=h.xy2s5zshkwf2" w:id="11"/>
            <w:bookmarkEnd w:id="11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ANÁLISIS DE EVALUACIÓN / PRE-TEST Y POST-TEST</w:t>
            </w:r>
          </w:p>
          <w:p w:rsidR="00000000" w:rsidDel="00000000" w:rsidP="00000000" w:rsidRDefault="00000000" w:rsidRPr="00000000" w14:paraId="00000076">
            <w:pPr>
              <w:spacing w:after="200"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4b5j7qjecauz" w:id="12"/>
            <w:bookmarkEnd w:id="12"/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  <w:rtl w:val="0"/>
              </w:rPr>
              <w:t xml:space="preserve">Antes de iniciar la capacitación, se aplicó un pre-test a los participantes para identificar su nivel inicial de conocimiento. Tras la capacitación, se realizó un post-test con el mismo contenido para medir el aprendizaje logrado. A continuación, se detalla el comparativo entre los resultados del pre-test y el post-test: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240" w:before="240" w:lineRule="auto"/>
              <w:ind w:firstLine="0"/>
              <w:jc w:val="both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bookmarkStart w:colFirst="0" w:colLast="0" w:name="_heading=h.6yv34lvodwxk" w:id="13"/>
            <w:bookmarkEnd w:id="13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DETALLE DE INFORMACIÓN DE LA EVALUACIÓN</w:t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12"/>
              </w:numPr>
              <w:spacing w:before="240"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9zn4rjlkn0m5" w:id="14"/>
            <w:bookmarkEnd w:id="14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Cantidad de participantes: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2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12"/>
              </w:numPr>
              <w:spacing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1wcuf92jwcy9" w:id="15"/>
            <w:bookmarkEnd w:id="15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Puntaje asignado por respuesta correcta: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10 puntos</w:t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12"/>
              </w:numPr>
              <w:spacing w:after="240"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vcm1oz7n657e" w:id="16"/>
            <w:bookmarkEnd w:id="16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Total de preguntas planteadas: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10 (5 preguntas por participante)</w:t>
            </w:r>
          </w:p>
          <w:p w:rsidR="00000000" w:rsidDel="00000000" w:rsidP="00000000" w:rsidRDefault="00000000" w:rsidRPr="00000000" w14:paraId="0000007B">
            <w:pPr>
              <w:spacing w:after="240" w:before="240" w:lineRule="auto"/>
              <w:ind w:firstLine="0"/>
              <w:jc w:val="both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Comparativo Pre-Test vs Post-Test por pregunta:</w:t>
            </w:r>
          </w:p>
          <w:p w:rsidR="00000000" w:rsidDel="00000000" w:rsidP="00000000" w:rsidRDefault="00000000" w:rsidRPr="00000000" w14:paraId="0000007C">
            <w:pPr>
              <w:spacing w:after="240" w:before="240" w:lineRule="auto"/>
              <w:ind w:firstLine="0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Pregunta 1:</w:t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1"/>
              </w:numPr>
              <w:spacing w:before="2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Pre-Test: 2 respuestas correctas / 2 preguntas planteadas (100%)</w:t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1"/>
              </w:numPr>
              <w:spacing w:after="2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q1xu07n0fwgh" w:id="17"/>
            <w:bookmarkEnd w:id="17"/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Post-Test: 2 respuestas correctas / 2 preguntas planteadas (100%)</w:t>
            </w:r>
          </w:p>
          <w:p w:rsidR="00000000" w:rsidDel="00000000" w:rsidP="00000000" w:rsidRDefault="00000000" w:rsidRPr="00000000" w14:paraId="0000007F">
            <w:pPr>
              <w:spacing w:after="240" w:lineRule="auto"/>
              <w:ind w:left="720" w:firstLine="0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47628</wp:posOffset>
                  </wp:positionH>
                  <wp:positionV relativeFrom="paragraph">
                    <wp:posOffset>114300</wp:posOffset>
                  </wp:positionV>
                  <wp:extent cx="2864098" cy="1364711"/>
                  <wp:effectExtent b="0" l="0" r="0" t="0"/>
                  <wp:wrapNone/>
                  <wp:docPr descr="Gráfico de las respuestas de Formularios. Título de la pregunta: ¿Qué es la bioseguridad?. Número de respuestas: 2/2 respuestas correctas." id="70" name="image15.png"/>
                  <a:graphic>
                    <a:graphicData uri="http://schemas.openxmlformats.org/drawingml/2006/picture">
                      <pic:pic>
                        <pic:nvPicPr>
                          <pic:cNvPr descr="Gráfico de las respuestas de Formularios. Título de la pregunta: ¿Qué es la bioseguridad?. Número de respuestas: 2/2 respuestas correctas." id="0" name="image15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4098" cy="136471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3124200</wp:posOffset>
                  </wp:positionH>
                  <wp:positionV relativeFrom="paragraph">
                    <wp:posOffset>114300</wp:posOffset>
                  </wp:positionV>
                  <wp:extent cx="2864098" cy="1364711"/>
                  <wp:effectExtent b="0" l="0" r="0" t="0"/>
                  <wp:wrapNone/>
                  <wp:docPr descr="Gráfico de las respuestas de Formularios. Título de la pregunta: ¿Qué es la bioseguridad?. Número de respuestas: 2/2 respuestas correctas." id="68" name="image15.png"/>
                  <a:graphic>
                    <a:graphicData uri="http://schemas.openxmlformats.org/drawingml/2006/picture">
                      <pic:pic>
                        <pic:nvPicPr>
                          <pic:cNvPr descr="Gráfico de las respuestas de Formularios. Título de la pregunta: ¿Qué es la bioseguridad?. Número de respuestas: 2/2 respuestas correctas." id="0" name="image15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4098" cy="136471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82">
            <w:pPr>
              <w:spacing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240" w:before="240" w:lineRule="auto"/>
              <w:ind w:firstLine="0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Pregunta 2:</w:t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9"/>
              </w:numPr>
              <w:spacing w:before="2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Pre-Test: 2 respuestas correctas / 2 preguntas planteadas (100%)</w:t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9"/>
              </w:numPr>
              <w:spacing w:after="2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Post-Test: 2 respuestas correctas / 2 preguntas planteadas (100%)</w:t>
            </w:r>
          </w:p>
          <w:p w:rsidR="00000000" w:rsidDel="00000000" w:rsidP="00000000" w:rsidRDefault="00000000" w:rsidRPr="00000000" w14:paraId="0000008B">
            <w:pPr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bolicas8f686" w:id="18"/>
            <w:bookmarkEnd w:id="18"/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47628</wp:posOffset>
                  </wp:positionH>
                  <wp:positionV relativeFrom="paragraph">
                    <wp:posOffset>218572</wp:posOffset>
                  </wp:positionV>
                  <wp:extent cx="2867025" cy="1366106"/>
                  <wp:effectExtent b="0" l="0" r="0" t="0"/>
                  <wp:wrapNone/>
                  <wp:docPr descr="Gráfico de las respuestas de Formularios. Título de la pregunta: ¿Cuál de los siguientes es un principio de bioseguridad?. Número de respuestas: 2/2 respuestas correctas." id="69" name="image12.png"/>
                  <a:graphic>
                    <a:graphicData uri="http://schemas.openxmlformats.org/drawingml/2006/picture">
                      <pic:pic>
                        <pic:nvPicPr>
                          <pic:cNvPr descr="Gráfico de las respuestas de Formularios. Título de la pregunta: ¿Cuál de los siguientes es un principio de bioseguridad?. Número de respuestas: 2/2 respuestas correctas." id="0" name="image12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7025" cy="136610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3038475</wp:posOffset>
                  </wp:positionH>
                  <wp:positionV relativeFrom="paragraph">
                    <wp:posOffset>219075</wp:posOffset>
                  </wp:positionV>
                  <wp:extent cx="2867025" cy="1366106"/>
                  <wp:effectExtent b="0" l="0" r="0" t="0"/>
                  <wp:wrapNone/>
                  <wp:docPr descr="Gráfico de las respuestas de Formularios. Título de la pregunta: ¿Cuál de los siguientes es un principio de bioseguridad?. Número de respuestas: 2/2 respuestas correctas." id="79" name="image12.png"/>
                  <a:graphic>
                    <a:graphicData uri="http://schemas.openxmlformats.org/drawingml/2006/picture">
                      <pic:pic>
                        <pic:nvPicPr>
                          <pic:cNvPr descr="Gráfico de las respuestas de Formularios. Título de la pregunta: ¿Cuál de los siguientes es un principio de bioseguridad?. Número de respuestas: 2/2 respuestas correctas." id="0" name="image12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7025" cy="136610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8C">
            <w:pPr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2n0thh12wy21" w:id="19"/>
            <w:bookmarkEnd w:id="1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jdgku8p4oocn" w:id="20"/>
            <w:bookmarkEnd w:id="2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viwmt2um0b10" w:id="21"/>
            <w:bookmarkEnd w:id="2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a45yw78fhd06" w:id="22"/>
            <w:bookmarkEnd w:id="2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ind w:firstLine="0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ind w:firstLine="0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ind w:firstLine="0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240" w:before="240" w:lineRule="auto"/>
              <w:ind w:firstLine="0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Pregunta 3:</w:t>
            </w:r>
          </w:p>
          <w:p w:rsidR="00000000" w:rsidDel="00000000" w:rsidP="00000000" w:rsidRDefault="00000000" w:rsidRPr="00000000" w14:paraId="00000094">
            <w:pPr>
              <w:numPr>
                <w:ilvl w:val="0"/>
                <w:numId w:val="9"/>
              </w:numPr>
              <w:spacing w:before="2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Pre-Test: 2 respuestas correctas / 2 preguntas planteadas (100%)</w:t>
            </w:r>
          </w:p>
          <w:p w:rsidR="00000000" w:rsidDel="00000000" w:rsidP="00000000" w:rsidRDefault="00000000" w:rsidRPr="00000000" w14:paraId="00000095">
            <w:pPr>
              <w:numPr>
                <w:ilvl w:val="0"/>
                <w:numId w:val="9"/>
              </w:numPr>
              <w:spacing w:after="2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Post-Test: 2 respuestas correctas / 2 preguntas planteadas (100%)</w:t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47628</wp:posOffset>
                  </wp:positionH>
                  <wp:positionV relativeFrom="paragraph">
                    <wp:posOffset>370469</wp:posOffset>
                  </wp:positionV>
                  <wp:extent cx="2856820" cy="1362075"/>
                  <wp:effectExtent b="0" l="0" r="0" t="0"/>
                  <wp:wrapNone/>
                  <wp:docPr descr="Gráfico de las respuestas de Formularios. Título de la pregunta: ¿Cuál es la diferencia entre limpieza y desinfección?. Número de respuestas: 2/2 respuestas correctas." id="78" name="image16.png"/>
                  <a:graphic>
                    <a:graphicData uri="http://schemas.openxmlformats.org/drawingml/2006/picture">
                      <pic:pic>
                        <pic:nvPicPr>
                          <pic:cNvPr descr="Gráfico de las respuestas de Formularios. Título de la pregunta: ¿Cuál es la diferencia entre limpieza y desinfección?. Número de respuestas: 2/2 respuestas correctas." id="0" name="image16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6820" cy="1362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3043238</wp:posOffset>
                  </wp:positionH>
                  <wp:positionV relativeFrom="paragraph">
                    <wp:posOffset>371475</wp:posOffset>
                  </wp:positionV>
                  <wp:extent cx="2856820" cy="1362075"/>
                  <wp:effectExtent b="0" l="0" r="0" t="0"/>
                  <wp:wrapNone/>
                  <wp:docPr descr="Gráfico de las respuestas de Formularios. Título de la pregunta: ¿Cuál es la diferencia entre limpieza y desinfección?. Número de respuestas: 2/2 respuestas correctas." id="77" name="image16.png"/>
                  <a:graphic>
                    <a:graphicData uri="http://schemas.openxmlformats.org/drawingml/2006/picture">
                      <pic:pic>
                        <pic:nvPicPr>
                          <pic:cNvPr descr="Gráfico de las respuestas de Formularios. Título de la pregunta: ¿Cuál es la diferencia entre limpieza y desinfección?. Número de respuestas: 2/2 respuestas correctas." id="0" name="image16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6820" cy="1362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96">
            <w:pPr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ind w:firstLine="0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ind w:firstLine="0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ind w:firstLine="0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ind w:firstLine="0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ind w:firstLine="0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ind w:firstLine="0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ind w:firstLine="0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ind w:firstLine="0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ind w:firstLine="0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240" w:before="240" w:lineRule="auto"/>
              <w:ind w:firstLine="0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Pregunta 4:</w:t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9"/>
              </w:numPr>
              <w:spacing w:before="2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Pre-Test: 2 respuestas correctas / 2 preguntas planteadas (100%)</w:t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9"/>
              </w:numPr>
              <w:spacing w:after="2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Post-Test: 2 respuestas correctas / 2 preguntas planteadas (100%)</w:t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2886075</wp:posOffset>
                  </wp:positionH>
                  <wp:positionV relativeFrom="paragraph">
                    <wp:posOffset>314325</wp:posOffset>
                  </wp:positionV>
                  <wp:extent cx="2706688" cy="1370694"/>
                  <wp:effectExtent b="0" l="0" r="0" t="0"/>
                  <wp:wrapNone/>
                  <wp:docPr descr="Gráfico de las respuestas de Formularios. Título de la pregunta: Los fluidos corporales son aquellas sustancias que pueden fluir o que se producen en el interior de los seres vivos, algunos de ellos pueden ser sangre, saliva, orina y vomito.. Número de respuestas: 2/2 respuestas correctas." id="76" name="image18.png"/>
                  <a:graphic>
                    <a:graphicData uri="http://schemas.openxmlformats.org/drawingml/2006/picture">
                      <pic:pic>
                        <pic:nvPicPr>
                          <pic:cNvPr descr="Gráfico de las respuestas de Formularios. Título de la pregunta: Los fluidos corporales son aquellas sustancias que pueden fluir o que se producen en el interior de los seres vivos, algunos de ellos pueden ser sangre, saliva, orina y vomito.. Número de respuestas: 2/2 respuestas correctas." id="0" name="image18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6688" cy="137069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47628</wp:posOffset>
                  </wp:positionH>
                  <wp:positionV relativeFrom="paragraph">
                    <wp:posOffset>313821</wp:posOffset>
                  </wp:positionV>
                  <wp:extent cx="2706688" cy="1370694"/>
                  <wp:effectExtent b="0" l="0" r="0" t="0"/>
                  <wp:wrapNone/>
                  <wp:docPr descr="Gráfico de las respuestas de Formularios. Título de la pregunta: Los fluidos corporales son aquellas sustancias que pueden fluir o que se producen en el interior de los seres vivos, algunos de ellos pueden ser sangre, saliva, orina y vomito.. Número de respuestas: 2/2 respuestas correctas." id="75" name="image18.png"/>
                  <a:graphic>
                    <a:graphicData uri="http://schemas.openxmlformats.org/drawingml/2006/picture">
                      <pic:pic>
                        <pic:nvPicPr>
                          <pic:cNvPr descr="Gráfico de las respuestas de Formularios. Título de la pregunta: Los fluidos corporales son aquellas sustancias que pueden fluir o que se producen en el interior de los seres vivos, algunos de ellos pueden ser sangre, saliva, orina y vomito.. Número de respuestas: 2/2 respuestas correctas." id="0" name="image18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6688" cy="137069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A3">
            <w:pPr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l0u0wgm5bzqr" w:id="23"/>
            <w:bookmarkEnd w:id="2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rrrkovfny6up" w:id="24"/>
            <w:bookmarkEnd w:id="2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vui65imcyi19" w:id="25"/>
            <w:bookmarkEnd w:id="2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y4hesfppmeoy" w:id="26"/>
            <w:bookmarkEnd w:id="2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ghtjz5vxkrb1" w:id="27"/>
            <w:bookmarkEnd w:id="2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5vx9ubmjcphs" w:id="28"/>
            <w:bookmarkEnd w:id="2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esdugfhj4ozo" w:id="29"/>
            <w:bookmarkEnd w:id="2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240" w:before="240" w:lineRule="auto"/>
              <w:ind w:firstLine="0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Pregunta 5:</w:t>
            </w:r>
          </w:p>
          <w:p w:rsidR="00000000" w:rsidDel="00000000" w:rsidP="00000000" w:rsidRDefault="00000000" w:rsidRPr="00000000" w14:paraId="000000AB">
            <w:pPr>
              <w:numPr>
                <w:ilvl w:val="0"/>
                <w:numId w:val="9"/>
              </w:numPr>
              <w:spacing w:before="2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Pre-Test: 0 respuestas correctas / 2 preguntas planteadas (0%)</w:t>
            </w:r>
          </w:p>
          <w:p w:rsidR="00000000" w:rsidDel="00000000" w:rsidP="00000000" w:rsidRDefault="00000000" w:rsidRPr="00000000" w14:paraId="000000AC">
            <w:pPr>
              <w:numPr>
                <w:ilvl w:val="0"/>
                <w:numId w:val="9"/>
              </w:numPr>
              <w:spacing w:after="2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Post-Test: 2 respuestas correctas / 2 preguntas planteadas (100%)</w:t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3067050</wp:posOffset>
                  </wp:positionH>
                  <wp:positionV relativeFrom="paragraph">
                    <wp:posOffset>304800</wp:posOffset>
                  </wp:positionV>
                  <wp:extent cx="2876550" cy="1368841"/>
                  <wp:effectExtent b="0" l="0" r="0" t="0"/>
                  <wp:wrapNone/>
                  <wp:docPr descr="Gráfico de las respuestas de Formularios. Título de la pregunta: ¿Que va primero al momento de realizar el procedimiento para el manejo de derrames?. Número de respuestas: 2/2 respuestas correctas." id="74" name="image19.png"/>
                  <a:graphic>
                    <a:graphicData uri="http://schemas.openxmlformats.org/drawingml/2006/picture">
                      <pic:pic>
                        <pic:nvPicPr>
                          <pic:cNvPr descr="Gráfico de las respuestas de Formularios. Título de la pregunta: ¿Que va primero al momento de realizar el procedimiento para el manejo de derrames?. Número de respuestas: 2/2 respuestas correctas." id="0" name="image19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6550" cy="13688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47628</wp:posOffset>
                  </wp:positionH>
                  <wp:positionV relativeFrom="paragraph">
                    <wp:posOffset>304296</wp:posOffset>
                  </wp:positionV>
                  <wp:extent cx="2878555" cy="1371600"/>
                  <wp:effectExtent b="0" l="0" r="0" t="0"/>
                  <wp:wrapNone/>
                  <wp:docPr descr="Gráfico de las respuestas de Formularios. Título de la pregunta: ¿Que va primero al momento de realizar el procedimiento para el manejo de derrames?. Número de respuestas: 0/2 respuestas correctas." id="73" name="image14.png"/>
                  <a:graphic>
                    <a:graphicData uri="http://schemas.openxmlformats.org/drawingml/2006/picture">
                      <pic:pic>
                        <pic:nvPicPr>
                          <pic:cNvPr descr="Gráfico de las respuestas de Formularios. Título de la pregunta: ¿Que va primero al momento de realizar el procedimiento para el manejo de derrames?. Número de respuestas: 0/2 respuestas correctas." id="0" name="image14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8555" cy="1371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AD">
            <w:pPr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uudh1n9whvzg" w:id="30"/>
            <w:bookmarkEnd w:id="3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bvl3esawvc9z" w:id="31"/>
            <w:bookmarkEnd w:id="3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sfw0ero03ga2" w:id="32"/>
            <w:bookmarkEnd w:id="3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8utrnu41tian" w:id="33"/>
            <w:bookmarkEnd w:id="3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rpg2rsxr1emm" w:id="34"/>
            <w:bookmarkEnd w:id="3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h20cs6xrfkxg" w:id="35"/>
            <w:bookmarkEnd w:id="3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ppifljamv960" w:id="36"/>
            <w:bookmarkEnd w:id="3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numPr>
                <w:ilvl w:val="0"/>
                <w:numId w:val="14"/>
              </w:numPr>
              <w:spacing w:after="200"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INFORME DE ADHERENCIA A CAPACITACIÓN </w:t>
            </w:r>
          </w:p>
          <w:p w:rsidR="00000000" w:rsidDel="00000000" w:rsidP="00000000" w:rsidRDefault="00000000" w:rsidRPr="00000000" w14:paraId="000000B6">
            <w:pPr>
              <w:spacing w:after="240" w:before="240"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e7ri2hb5ddg6" w:id="37"/>
            <w:bookmarkEnd w:id="37"/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Se evidenció una mejora significativa en los conocimientos de los participantes.</w:t>
            </w:r>
          </w:p>
          <w:p w:rsidR="00000000" w:rsidDel="00000000" w:rsidP="00000000" w:rsidRDefault="00000000" w:rsidRPr="00000000" w14:paraId="000000B7">
            <w:pPr>
              <w:numPr>
                <w:ilvl w:val="0"/>
                <w:numId w:val="10"/>
              </w:numPr>
              <w:spacing w:before="24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Resultados del Pre-Test: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8 respuestas correctas de 10 preguntas planteadas (80% de cumplimiento).</w:t>
            </w:r>
          </w:p>
          <w:p w:rsidR="00000000" w:rsidDel="00000000" w:rsidP="00000000" w:rsidRDefault="00000000" w:rsidRPr="00000000" w14:paraId="000000B8">
            <w:pPr>
              <w:numPr>
                <w:ilvl w:val="0"/>
                <w:numId w:val="10"/>
              </w:numPr>
              <w:spacing w:after="24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Resultados del Post-Test: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10 respuestas correctas de 10 preguntas planteadas (100% de cumplimiento).</w:t>
            </w:r>
          </w:p>
          <w:p w:rsidR="00000000" w:rsidDel="00000000" w:rsidP="00000000" w:rsidRDefault="00000000" w:rsidRPr="00000000" w14:paraId="000000B9">
            <w:pPr>
              <w:spacing w:after="240" w:before="240"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El análisis demuestra que, inicialmente, los colaboradores tenían errores recurrentes en 1 de las 5 preguntas planteadas por persona, lo que refleja un nivel de conocimiento parcial del tema antes de la capacitación. Sin embargo, tras el proceso formativo, lograron responder correctamente el 100% de las preguntas, validando la efectividad de la capacitación.</w:t>
            </w:r>
          </w:p>
          <w:p w:rsidR="00000000" w:rsidDel="00000000" w:rsidP="00000000" w:rsidRDefault="00000000" w:rsidRPr="00000000" w14:paraId="000000BA">
            <w:pPr>
              <w:spacing w:after="240" w:before="240"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Para verificar los resultados, cada pregunta fue analizada en detalle y acompañada de gráficas comparativas entre el pre-test y el post-test. Además, durante la capacitación, se aclararon dudas y se reforzaron conceptos clave para asegurar una adecuada comprensión.</w:t>
            </w:r>
          </w:p>
          <w:p w:rsidR="00000000" w:rsidDel="00000000" w:rsidP="00000000" w:rsidRDefault="00000000" w:rsidRPr="00000000" w14:paraId="000000BB">
            <w:pPr>
              <w:numPr>
                <w:ilvl w:val="0"/>
                <w:numId w:val="11"/>
              </w:numPr>
              <w:tabs>
                <w:tab w:val="left" w:leader="none" w:pos="2129"/>
              </w:tabs>
              <w:spacing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1"/>
                <w:sz w:val="22"/>
                <w:szCs w:val="22"/>
                <w:rtl w:val="0"/>
              </w:rPr>
              <w:t xml:space="preserve">CIERRE.</w:t>
            </w:r>
          </w:p>
          <w:p w:rsidR="00000000" w:rsidDel="00000000" w:rsidP="00000000" w:rsidRDefault="00000000" w:rsidRPr="00000000" w14:paraId="000000BC">
            <w:pPr>
              <w:tabs>
                <w:tab w:val="left" w:leader="none" w:pos="2129"/>
              </w:tabs>
              <w:spacing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Siendo las 11:30 a.m. La asesora del área de calidad agradece a los presentes por su participación en la capacitación.</w:t>
            </w:r>
          </w:p>
        </w:tc>
      </w:tr>
    </w:tbl>
    <w:p w:rsidR="00000000" w:rsidDel="00000000" w:rsidP="00000000" w:rsidRDefault="00000000" w:rsidRPr="00000000" w14:paraId="000000BD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765.0" w:type="dxa"/>
        <w:jc w:val="left"/>
        <w:tblInd w:w="-49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175"/>
        <w:gridCol w:w="2325"/>
        <w:gridCol w:w="2265"/>
        <w:tblGridChange w:id="0">
          <w:tblGrid>
            <w:gridCol w:w="5175"/>
            <w:gridCol w:w="2325"/>
            <w:gridCol w:w="2265"/>
          </w:tblGrid>
        </w:tblGridChange>
      </w:tblGrid>
      <w:tr>
        <w:trPr>
          <w:cantSplit w:val="0"/>
          <w:trHeight w:val="47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E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COMPROMISOS PRÓXIMA ACTA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ENCARGADO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FECHA DE ENTREGA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1">
            <w:pPr>
              <w:numPr>
                <w:ilvl w:val="0"/>
                <w:numId w:val="6"/>
              </w:numPr>
              <w:spacing w:after="40" w:before="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spacing w:after="40" w:before="40" w:lineRule="auto"/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spacing w:after="40" w:before="40" w:lineRule="auto"/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5641975</wp:posOffset>
            </wp:positionH>
            <wp:positionV relativeFrom="page">
              <wp:posOffset>6353477</wp:posOffset>
            </wp:positionV>
            <wp:extent cx="1020763" cy="438150"/>
            <wp:effectExtent b="0" l="0" r="0" t="0"/>
            <wp:wrapNone/>
            <wp:docPr id="7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8135"/>
                    <a:stretch>
                      <a:fillRect/>
                    </a:stretch>
                  </pic:blipFill>
                  <pic:spPr>
                    <a:xfrm>
                      <a:off x="0" y="0"/>
                      <a:ext cx="1020763" cy="438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5737225</wp:posOffset>
            </wp:positionH>
            <wp:positionV relativeFrom="page">
              <wp:posOffset>5877228</wp:posOffset>
            </wp:positionV>
            <wp:extent cx="923925" cy="396814"/>
            <wp:effectExtent b="0" l="0" r="0" t="0"/>
            <wp:wrapNone/>
            <wp:docPr id="8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39681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tbl>
      <w:tblPr>
        <w:tblStyle w:val="Table7"/>
        <w:tblW w:w="9720.0" w:type="dxa"/>
        <w:jc w:val="left"/>
        <w:tblInd w:w="-46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10"/>
        <w:gridCol w:w="3060"/>
        <w:gridCol w:w="2550"/>
        <w:tblGridChange w:id="0">
          <w:tblGrid>
            <w:gridCol w:w="4110"/>
            <w:gridCol w:w="3060"/>
            <w:gridCol w:w="2550"/>
          </w:tblGrid>
        </w:tblGridChange>
      </w:tblGrid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C6">
            <w:pPr>
              <w:ind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ASISTENTES A LA REUNIÓN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9">
            <w:pPr>
              <w:ind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NOMBRES Y APELLIDOS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ind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ind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202124" w:space="0" w:sz="6" w:val="single"/>
              <w:left w:color="202124" w:space="0" w:sz="6" w:val="single"/>
              <w:bottom w:color="202124" w:space="0" w:sz="6" w:val="single"/>
              <w:right w:color="202124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  <w:rtl w:val="0"/>
              </w:rPr>
              <w:t xml:space="preserve">Carlos Javier Vizcaino Guerrero</w:t>
            </w:r>
          </w:p>
        </w:tc>
        <w:tc>
          <w:tcPr>
            <w:tcBorders>
              <w:top w:color="202124" w:space="0" w:sz="6" w:val="single"/>
              <w:left w:color="202124" w:space="0" w:sz="6" w:val="single"/>
              <w:bottom w:color="202124" w:space="0" w:sz="6" w:val="single"/>
              <w:right w:color="202124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  <w:rtl w:val="0"/>
              </w:rPr>
              <w:t xml:space="preserve">Medico Especialista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E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202124" w:space="0" w:sz="6" w:val="single"/>
              <w:left w:color="202124" w:space="0" w:sz="6" w:val="single"/>
              <w:bottom w:color="202124" w:space="0" w:sz="6" w:val="single"/>
              <w:right w:color="202124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  <w:rtl w:val="0"/>
              </w:rPr>
              <w:t xml:space="preserve">Melanie Veloza</w:t>
            </w:r>
          </w:p>
        </w:tc>
        <w:tc>
          <w:tcPr>
            <w:tcBorders>
              <w:top w:color="202124" w:space="0" w:sz="6" w:val="single"/>
              <w:left w:color="202124" w:space="0" w:sz="6" w:val="single"/>
              <w:bottom w:color="202124" w:space="0" w:sz="6" w:val="single"/>
              <w:right w:color="202124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  <w:rtl w:val="0"/>
              </w:rPr>
              <w:t xml:space="preserve">Auxiliar Administrativo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1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2.4609375000001" w:hRule="atLeast"/>
          <w:tblHeader w:val="0"/>
        </w:trPr>
        <w:tc>
          <w:tcPr>
            <w:tcBorders>
              <w:top w:color="202124" w:space="0" w:sz="6" w:val="single"/>
              <w:left w:color="202124" w:space="0" w:sz="6" w:val="single"/>
              <w:bottom w:color="202124" w:space="0" w:sz="6" w:val="single"/>
              <w:right w:color="202124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  <w:rtl w:val="0"/>
              </w:rPr>
              <w:t xml:space="preserve">Kelly Dayana Canacue</w:t>
            </w:r>
          </w:p>
        </w:tc>
        <w:tc>
          <w:tcPr>
            <w:tcBorders>
              <w:top w:color="202124" w:space="0" w:sz="6" w:val="single"/>
              <w:left w:color="202124" w:space="0" w:sz="6" w:val="single"/>
              <w:bottom w:color="202124" w:space="0" w:sz="6" w:val="single"/>
              <w:right w:color="202124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  <w:rtl w:val="0"/>
              </w:rPr>
              <w:t xml:space="preserve">Asesor de calidad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4">
            <w:pPr>
              <w:spacing w:before="120" w:lineRule="auto"/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</w:rPr>
              <w:drawing>
                <wp:inline distB="114300" distT="114300" distL="114300" distR="114300">
                  <wp:extent cx="1268413" cy="457200"/>
                  <wp:effectExtent b="0" l="0" r="0" t="0"/>
                  <wp:docPr id="7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8413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ind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25" w:type="default"/>
      <w:footerReference r:id="rId26" w:type="default"/>
      <w:pgSz w:h="15842" w:w="12242" w:orient="portrait"/>
      <w:pgMar w:bottom="1276" w:top="1334" w:left="1985" w:right="902" w:header="709" w:footer="20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0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9"/>
      <w:tblW w:w="9750.0" w:type="dxa"/>
      <w:jc w:val="left"/>
      <w:tblInd w:w="-49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875"/>
      <w:gridCol w:w="2130"/>
      <w:gridCol w:w="2340"/>
      <w:gridCol w:w="1425"/>
      <w:gridCol w:w="1980"/>
      <w:tblGridChange w:id="0">
        <w:tblGrid>
          <w:gridCol w:w="1875"/>
          <w:gridCol w:w="2130"/>
          <w:gridCol w:w="2340"/>
          <w:gridCol w:w="1425"/>
          <w:gridCol w:w="198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E1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Elaborado</w:t>
          </w:r>
        </w:p>
      </w:tc>
      <w:tc>
        <w:tcPr/>
        <w:p w:rsidR="00000000" w:rsidDel="00000000" w:rsidP="00000000" w:rsidRDefault="00000000" w:rsidRPr="00000000" w14:paraId="000000E2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Revisado</w:t>
          </w:r>
        </w:p>
      </w:tc>
      <w:tc>
        <w:tcPr/>
        <w:p w:rsidR="00000000" w:rsidDel="00000000" w:rsidP="00000000" w:rsidRDefault="00000000" w:rsidRPr="00000000" w14:paraId="000000E3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Aprobado</w:t>
          </w:r>
        </w:p>
      </w:tc>
      <w:tc>
        <w:tcPr/>
        <w:p w:rsidR="00000000" w:rsidDel="00000000" w:rsidP="00000000" w:rsidRDefault="00000000" w:rsidRPr="00000000" w14:paraId="000000E4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Actualización</w:t>
          </w:r>
        </w:p>
      </w:tc>
      <w:tc>
        <w:tcPr/>
        <w:p w:rsidR="00000000" w:rsidDel="00000000" w:rsidP="00000000" w:rsidRDefault="00000000" w:rsidRPr="00000000" w14:paraId="000000E5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01 de Enero de 2025</w:t>
          </w:r>
        </w:p>
      </w:tc>
    </w:tr>
    <w:tr>
      <w:trPr>
        <w:cantSplit w:val="0"/>
        <w:tblHeader w:val="0"/>
      </w:trPr>
      <w:tc>
        <w:tcPr>
          <w:vMerge w:val="restart"/>
        </w:tcPr>
        <w:p w:rsidR="00000000" w:rsidDel="00000000" w:rsidP="00000000" w:rsidRDefault="00000000" w:rsidRPr="00000000" w14:paraId="000000E6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Kelly Canacue</w:t>
          </w:r>
        </w:p>
        <w:p w:rsidR="00000000" w:rsidDel="00000000" w:rsidP="00000000" w:rsidRDefault="00000000" w:rsidRPr="00000000" w14:paraId="000000E7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Líder de calidad</w:t>
          </w:r>
        </w:p>
      </w:tc>
      <w:tc>
        <w:tcPr>
          <w:vMerge w:val="restart"/>
        </w:tcPr>
        <w:p w:rsidR="00000000" w:rsidDel="00000000" w:rsidP="00000000" w:rsidRDefault="00000000" w:rsidRPr="00000000" w14:paraId="000000E8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Kelly Canacue</w:t>
          </w:r>
        </w:p>
        <w:p w:rsidR="00000000" w:rsidDel="00000000" w:rsidP="00000000" w:rsidRDefault="00000000" w:rsidRPr="00000000" w14:paraId="000000E9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Century Gothic" w:cs="Century Gothic" w:eastAsia="Century Gothic" w:hAnsi="Century Gothic"/>
              <w:sz w:val="16"/>
              <w:szCs w:val="16"/>
              <w:highlight w:val="yellow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Líder de calidad</w:t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</w:tcPr>
        <w:p w:rsidR="00000000" w:rsidDel="00000000" w:rsidP="00000000" w:rsidRDefault="00000000" w:rsidRPr="00000000" w14:paraId="000000EA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Century Gothic" w:cs="Century Gothic" w:eastAsia="Century Gothic" w:hAnsi="Century Gothic"/>
              <w:sz w:val="16"/>
              <w:szCs w:val="16"/>
              <w:highlight w:val="white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highlight w:val="white"/>
              <w:rtl w:val="0"/>
            </w:rPr>
            <w:t xml:space="preserve">Carlos Vizcaino</w:t>
          </w:r>
        </w:p>
        <w:p w:rsidR="00000000" w:rsidDel="00000000" w:rsidP="00000000" w:rsidRDefault="00000000" w:rsidRPr="00000000" w14:paraId="000000EB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Profesional Independiente</w:t>
          </w:r>
        </w:p>
      </w:tc>
      <w:tc>
        <w:tcPr/>
        <w:p w:rsidR="00000000" w:rsidDel="00000000" w:rsidP="00000000" w:rsidRDefault="00000000" w:rsidRPr="00000000" w14:paraId="000000EC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Versión</w:t>
          </w:r>
        </w:p>
      </w:tc>
      <w:tc>
        <w:tcPr/>
        <w:p w:rsidR="00000000" w:rsidDel="00000000" w:rsidP="00000000" w:rsidRDefault="00000000" w:rsidRPr="00000000" w14:paraId="000000ED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002</w:t>
          </w:r>
        </w:p>
      </w:tc>
    </w:tr>
    <w:tr>
      <w:trPr>
        <w:cantSplit w:val="0"/>
        <w:tblHeader w:val="0"/>
      </w:trPr>
      <w:tc>
        <w:tcPr>
          <w:vMerge w:val="continue"/>
        </w:tcPr>
        <w:p w:rsidR="00000000" w:rsidDel="00000000" w:rsidP="00000000" w:rsidRDefault="00000000" w:rsidRPr="00000000" w14:paraId="000000E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</w:tcPr>
        <w:p w:rsidR="00000000" w:rsidDel="00000000" w:rsidP="00000000" w:rsidRDefault="00000000" w:rsidRPr="00000000" w14:paraId="000000E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</w:tcPr>
        <w:p w:rsidR="00000000" w:rsidDel="00000000" w:rsidP="00000000" w:rsidRDefault="00000000" w:rsidRPr="00000000" w14:paraId="000000F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F1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Página</w:t>
          </w:r>
        </w:p>
      </w:tc>
      <w:tc>
        <w:tcPr/>
        <w:p w:rsidR="00000000" w:rsidDel="00000000" w:rsidP="00000000" w:rsidRDefault="00000000" w:rsidRPr="00000000" w14:paraId="000000F2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 de </w:t>
          </w: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F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6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ind w:left="0" w:hanging="2"/>
      <w:rPr>
        <w:rFonts w:ascii="Century Gothic" w:cs="Century Gothic" w:eastAsia="Century Gothic" w:hAnsi="Century Gothic"/>
        <w:sz w:val="22"/>
        <w:szCs w:val="22"/>
      </w:rPr>
    </w:pPr>
    <w:r w:rsidDel="00000000" w:rsidR="00000000" w:rsidRPr="00000000">
      <w:rPr>
        <w:rtl w:val="0"/>
      </w:rPr>
    </w:r>
  </w:p>
  <w:tbl>
    <w:tblPr>
      <w:tblStyle w:val="Table8"/>
      <w:tblW w:w="9750.0" w:type="dxa"/>
      <w:jc w:val="left"/>
      <w:tblInd w:w="-58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670"/>
      <w:gridCol w:w="4350"/>
      <w:gridCol w:w="2730"/>
      <w:tblGridChange w:id="0">
        <w:tblGrid>
          <w:gridCol w:w="2670"/>
          <w:gridCol w:w="4350"/>
          <w:gridCol w:w="2730"/>
        </w:tblGrid>
      </w:tblGridChange>
    </w:tblGrid>
    <w:tr>
      <w:trPr>
        <w:cantSplit w:val="0"/>
        <w:trHeight w:val="415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D7">
          <w:pPr>
            <w:tabs>
              <w:tab w:val="right" w:leader="none" w:pos="9003"/>
            </w:tabs>
            <w:ind w:firstLine="0"/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</w:rPr>
            <w:drawing>
              <wp:inline distB="114300" distT="114300" distL="114300" distR="114300">
                <wp:extent cx="1562100" cy="546100"/>
                <wp:effectExtent b="0" l="0" r="0" t="0"/>
                <wp:docPr id="80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62100" cy="546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D8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rtl w:val="0"/>
            </w:rPr>
            <w:t xml:space="preserve">ACTA DE REUNIÓN, CAPACITACIONES Y OTRAS ACTIVIDADES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D9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A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16"/>
              <w:szCs w:val="16"/>
              <w:rtl w:val="0"/>
            </w:rPr>
            <w:t xml:space="preserve">PROCESO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60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D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D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DD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16"/>
              <w:szCs w:val="16"/>
              <w:rtl w:val="0"/>
            </w:rPr>
            <w:t xml:space="preserve">CÓDIGO: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E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CIDTPA-TH-FO-043</w:t>
          </w:r>
        </w:p>
      </w:tc>
    </w:tr>
  </w:tbl>
  <w:p w:rsidR="00000000" w:rsidDel="00000000" w:rsidP="00000000" w:rsidRDefault="00000000" w:rsidRPr="00000000" w14:paraId="000000D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independiente">
    <w:name w:val="Body Text"/>
    <w:basedOn w:val="Normal"/>
    <w:pPr>
      <w:suppressAutoHyphens w:val="0"/>
      <w:spacing w:after="120"/>
    </w:pPr>
    <w:rPr>
      <w:sz w:val="20"/>
      <w:szCs w:val="20"/>
    </w:rPr>
  </w:style>
  <w:style w:type="paragraph" w:styleId="Prrafodelista">
    <w:name w:val="List Paragraph"/>
    <w:basedOn w:val="Normal"/>
    <w:pPr>
      <w:ind w:left="708"/>
    </w:pPr>
  </w:style>
  <w:style w:type="character" w:styleId="EncabezadoCar" w:customStyle="1">
    <w:name w:val="Encabezado Car"/>
    <w:rPr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type="character" w:styleId="PiedepginaCar" w:customStyle="1">
    <w:name w:val="Pie de página Car"/>
    <w:rPr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9.png"/><Relationship Id="rId22" Type="http://schemas.openxmlformats.org/officeDocument/2006/relationships/image" Target="media/image5.png"/><Relationship Id="rId21" Type="http://schemas.openxmlformats.org/officeDocument/2006/relationships/image" Target="media/image14.png"/><Relationship Id="rId24" Type="http://schemas.openxmlformats.org/officeDocument/2006/relationships/image" Target="media/image1.png"/><Relationship Id="rId23" Type="http://schemas.openxmlformats.org/officeDocument/2006/relationships/image" Target="media/image2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26" Type="http://schemas.openxmlformats.org/officeDocument/2006/relationships/footer" Target="footer1.xml"/><Relationship Id="rId25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1.png"/><Relationship Id="rId8" Type="http://schemas.openxmlformats.org/officeDocument/2006/relationships/image" Target="media/image13.png"/><Relationship Id="rId11" Type="http://schemas.openxmlformats.org/officeDocument/2006/relationships/image" Target="media/image4.png"/><Relationship Id="rId10" Type="http://schemas.openxmlformats.org/officeDocument/2006/relationships/image" Target="media/image7.png"/><Relationship Id="rId13" Type="http://schemas.openxmlformats.org/officeDocument/2006/relationships/image" Target="media/image10.png"/><Relationship Id="rId12" Type="http://schemas.openxmlformats.org/officeDocument/2006/relationships/image" Target="media/image8.png"/><Relationship Id="rId15" Type="http://schemas.openxmlformats.org/officeDocument/2006/relationships/image" Target="media/image3.png"/><Relationship Id="rId14" Type="http://schemas.openxmlformats.org/officeDocument/2006/relationships/image" Target="media/image6.png"/><Relationship Id="rId17" Type="http://schemas.openxmlformats.org/officeDocument/2006/relationships/image" Target="media/image12.png"/><Relationship Id="rId16" Type="http://schemas.openxmlformats.org/officeDocument/2006/relationships/image" Target="media/image15.png"/><Relationship Id="rId19" Type="http://schemas.openxmlformats.org/officeDocument/2006/relationships/image" Target="media/image18.png"/><Relationship Id="rId18" Type="http://schemas.openxmlformats.org/officeDocument/2006/relationships/image" Target="media/image1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Dx8sGg5199ywpJIlLd74JAns0Q==">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2021-10-19T12:25:00Z</dcterms:created>
  <dc:creator>Almacen</dc:creator>
</cp:coreProperties>
</file>