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Evaluar los aspectos normativos y de calidad relacionados con la habilitación de servicios de salud, conforme a la Resolución 3100 de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22 DE ABRIL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11:00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11:30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de política y programa de seguridad al paciente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y adherencia sobre temas explicados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Preguntas acerca del 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Cierre de la capacitación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ACTIVIDAD: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11:00 am del día 22 de abril del 2025, se inicia capacitación a los trabajadores dando a conocer que 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noikk8cu0qt5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la Actividad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3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inició la capacitación con una breve presentación sobre la importancia de garantizar la seguridad del paciente como eje fundamental en la atención en salud.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explicó la relación entre la política y el programa, destacando su alineación con el Sistema Obligatorio de Garantía de la Calidad en Salud (SOGCS).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="276" w:lineRule="auto"/>
              <w:ind w:left="72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Política de Seguridad del Paciente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definió la política como el compromiso institucional orientado a prevenir eventos adversos.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Elementos tratados: declaración de compromiso, principios orientadores, objetivos y asignación de responsabilidades.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1952625</wp:posOffset>
                  </wp:positionH>
                  <wp:positionV relativeFrom="paragraph">
                    <wp:posOffset>504825</wp:posOffset>
                  </wp:positionV>
                  <wp:extent cx="2381250" cy="1327794"/>
                  <wp:effectExtent b="0" l="0" r="0" t="0"/>
                  <wp:wrapNone/>
                  <wp:docPr id="3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277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3">
            <w:pPr>
              <w:spacing w:after="240" w:before="240" w:line="276" w:lineRule="auto"/>
              <w:ind w:left="72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="276" w:lineRule="auto"/>
              <w:ind w:left="72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40" w:before="240" w:line="276" w:lineRule="auto"/>
              <w:ind w:left="72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40" w:before="240" w:line="276" w:lineRule="auto"/>
              <w:ind w:left="72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76" w:lineRule="auto"/>
              <w:ind w:left="720" w:firstLine="0"/>
              <w:rPr>
                <w:rFonts w:ascii="Century Gothic" w:cs="Century Gothic" w:eastAsia="Century Gothic" w:hAnsi="Century Gothic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Principios Orientadores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detallaron los principios clave, como: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2"/>
                <w:numId w:val="13"/>
              </w:numPr>
              <w:spacing w:after="0" w:before="0" w:line="276" w:lineRule="auto"/>
              <w:ind w:left="216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Atención centrada en el usuario.</w:t>
            </w:r>
          </w:p>
          <w:p w:rsidR="00000000" w:rsidDel="00000000" w:rsidP="00000000" w:rsidRDefault="00000000" w:rsidRPr="00000000" w14:paraId="0000004B">
            <w:pPr>
              <w:numPr>
                <w:ilvl w:val="2"/>
                <w:numId w:val="13"/>
              </w:numPr>
              <w:spacing w:after="0" w:before="0" w:line="276" w:lineRule="auto"/>
              <w:ind w:left="216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Cultura de seguridad.</w:t>
            </w:r>
          </w:p>
          <w:p w:rsidR="00000000" w:rsidDel="00000000" w:rsidP="00000000" w:rsidRDefault="00000000" w:rsidRPr="00000000" w14:paraId="0000004C">
            <w:pPr>
              <w:numPr>
                <w:ilvl w:val="2"/>
                <w:numId w:val="13"/>
              </w:numPr>
              <w:spacing w:after="0" w:before="0" w:line="276" w:lineRule="auto"/>
              <w:ind w:left="216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Integración con el SOGCS.</w:t>
            </w:r>
          </w:p>
          <w:p w:rsidR="00000000" w:rsidDel="00000000" w:rsidP="00000000" w:rsidRDefault="00000000" w:rsidRPr="00000000" w14:paraId="0000004D">
            <w:pPr>
              <w:numPr>
                <w:ilvl w:val="2"/>
                <w:numId w:val="13"/>
              </w:numPr>
              <w:spacing w:after="0" w:before="0" w:line="276" w:lineRule="auto"/>
              <w:ind w:left="216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Multicausalidad.</w:t>
            </w:r>
          </w:p>
          <w:p w:rsidR="00000000" w:rsidDel="00000000" w:rsidP="00000000" w:rsidRDefault="00000000" w:rsidRPr="00000000" w14:paraId="0000004E">
            <w:pPr>
              <w:numPr>
                <w:ilvl w:val="2"/>
                <w:numId w:val="13"/>
              </w:numPr>
              <w:spacing w:after="0" w:before="0" w:line="276" w:lineRule="auto"/>
              <w:ind w:left="216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Alianza con el paciente y su familia.</w:t>
            </w:r>
          </w:p>
          <w:p w:rsidR="00000000" w:rsidDel="00000000" w:rsidP="00000000" w:rsidRDefault="00000000" w:rsidRPr="00000000" w14:paraId="0000004F">
            <w:pPr>
              <w:numPr>
                <w:ilvl w:val="2"/>
                <w:numId w:val="13"/>
              </w:numPr>
              <w:spacing w:after="240" w:before="0" w:line="276" w:lineRule="auto"/>
              <w:ind w:left="216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Alianza con el profesional de la salud.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2036128</wp:posOffset>
                  </wp:positionH>
                  <wp:positionV relativeFrom="paragraph">
                    <wp:posOffset>419100</wp:posOffset>
                  </wp:positionV>
                  <wp:extent cx="2376754" cy="1324914"/>
                  <wp:effectExtent b="0" l="0" r="0" t="0"/>
                  <wp:wrapNone/>
                  <wp:docPr id="4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754" cy="13249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0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Programa de Seguridad del Paciente</w:t>
            </w:r>
          </w:p>
          <w:p w:rsidR="00000000" w:rsidDel="00000000" w:rsidP="00000000" w:rsidRDefault="00000000" w:rsidRPr="00000000" w14:paraId="00000058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b w:val="1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explicó el programa como un conjunto de estrategias que operacionalizan la política y buscan prevenir eventos adversos.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Componentes destacados: diagnóstico inicial, plan de acción, capacitación continua, sistema de notificación, análisis de eventos, y seguimiento y evaluación.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1704975</wp:posOffset>
                  </wp:positionH>
                  <wp:positionV relativeFrom="paragraph">
                    <wp:posOffset>523875</wp:posOffset>
                  </wp:positionV>
                  <wp:extent cx="2516188" cy="1292800"/>
                  <wp:effectExtent b="0" l="0" r="0" t="0"/>
                  <wp:wrapNone/>
                  <wp:docPr id="4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188" cy="129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B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="276" w:lineRule="auto"/>
              <w:ind w:left="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3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Protocolo de Londres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6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presentó como una herramienta fundamental para el análisis estructurado de eventos adversos.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6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explicaron sus etapas: recolección de datos, análisis de hechos, identificación de causas raíz, diseño de acciones correctivas y monitoreo.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1738312</wp:posOffset>
                  </wp:positionH>
                  <wp:positionV relativeFrom="paragraph">
                    <wp:posOffset>619125</wp:posOffset>
                  </wp:positionV>
                  <wp:extent cx="2059681" cy="1157507"/>
                  <wp:effectExtent b="0" l="0" r="0" t="0"/>
                  <wp:wrapNone/>
                  <wp:docPr id="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681" cy="11575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8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finaliza realizando la evaluación de los conocimientos previos y se hace la socialización de las respuestas.</w:t>
            </w:r>
          </w:p>
          <w:p w:rsidR="00000000" w:rsidDel="00000000" w:rsidP="00000000" w:rsidRDefault="00000000" w:rsidRPr="00000000" w14:paraId="0000007C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y2s5zshkwf2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 EVALUACIÓN / PRE-TEST Y POST-TEST</w:t>
            </w:r>
          </w:p>
          <w:p w:rsidR="00000000" w:rsidDel="00000000" w:rsidP="00000000" w:rsidRDefault="00000000" w:rsidRPr="00000000" w14:paraId="0000007E">
            <w:pPr>
              <w:spacing w:after="20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b5j7qjecauz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Antes de iniciar la capacitación, se aplicó un pre-test a los participantes para identificar su nivel inicial de conocimiento. Tras la capacitación, se realizó un post-test con el mismo contenido para medir el aprendizaje logrado. A continuación, se detalla el comparativo entre los resultados del pre-test y el post-test: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6yv34lvodwxk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0"/>
              </w:numPr>
              <w:spacing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zn4rjlkn0m5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0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wcuf92jwcy9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 puntos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0"/>
              </w:numPr>
              <w:spacing w:after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cm1oz7n657e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10 (5 preguntas por participante)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Comparativo Pre-Test vs Post-Test por pregunta:</w:t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1: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4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4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1xu07n0fwgh" w:id="7"/>
            <w:bookmarkEnd w:id="7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822226" cy="1343917"/>
                  <wp:effectExtent b="0" l="0" r="0" t="0"/>
                  <wp:docPr descr="Gráfico de las respuestas de Formularios. Título de la pregunta: ¿Cuál de los siguientes es un objetivo principal de la Política de Seguridad del Paciente?. Número de respuestas: 2/2 respuestas correctas." id="30" name="image13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os siguientes es un objetivo principal de la Política de Seguridad del Paciente?. Número de respuestas: 2/2 respuestas correctas."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226" cy="13439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822226" cy="1343917"/>
                  <wp:effectExtent b="0" l="0" r="0" t="0"/>
                  <wp:docPr descr="Gráfico de las respuestas de Formularios. Título de la pregunta: ¿Cuál de los siguientes es un objetivo principal de la Política de Seguridad del Paciente?. Número de respuestas: 2/2 respuestas correctas." id="32" name="image13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os siguientes es un objetivo principal de la Política de Seguridad del Paciente?. Número de respuestas: 2/2 respuestas correctas."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226" cy="13439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2: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4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4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(100%))</w:t>
            </w:r>
          </w:p>
          <w:p w:rsidR="00000000" w:rsidDel="00000000" w:rsidP="00000000" w:rsidRDefault="00000000" w:rsidRPr="00000000" w14:paraId="0000008A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2n0thh12wy21" w:id="8"/>
            <w:bookmarkEnd w:id="8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963863" cy="1504182"/>
                  <wp:effectExtent b="0" l="0" r="0" t="0"/>
                  <wp:docPr descr="Gráfico de las respuestas de Formularios. Título de la pregunta: ¿Qué principio orientador enfatiza la necesidad de involucrar al paciente y su familia en la prevención de riesgos?. Número de respuestas: 2/2 respuestas correctas." id="31" name="image10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é principio orientador enfatiza la necesidad de involucrar al paciente y su familia en la prevención de riesgos?. Número de respuestas: 2/2 respuestas correctas."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863" cy="15041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3030538" cy="1538021"/>
                  <wp:effectExtent b="0" l="0" r="0" t="0"/>
                  <wp:docPr descr="Gráfico de las respuestas de Formularios. Título de la pregunta: ¿Qué principio orientador enfatiza la necesidad de involucrar al paciente y su familia en la prevención de riesgos?. Número de respuestas: 2/2 respuestas correctas." id="35" name="image10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é principio orientador enfatiza la necesidad de involucrar al paciente y su familia en la prevención de riesgos?. Número de respuestas: 2/2 respuestas correctas."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538" cy="15380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3: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4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4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</w:p>
          <w:p w:rsidR="00000000" w:rsidDel="00000000" w:rsidP="00000000" w:rsidRDefault="00000000" w:rsidRPr="00000000" w14:paraId="0000008E">
            <w:pPr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821562" cy="1432893"/>
                  <wp:effectExtent b="0" l="0" r="0" t="0"/>
                  <wp:docPr descr="Gráfico de las respuestas de Formularios. Título de la pregunta: ¿Qué componente del Programa de Seguridad del Paciente permite identificar riesgos antes de que ocurran eventos adversos?. Número de respuestas: 2/2 respuestas correctas." id="34" name="image1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é componente del Programa de Seguridad del Paciente permite identificar riesgos antes de que ocurran eventos adversos?. Número de respuestas: 2/2 respuestas correctas."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562" cy="14328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821562" cy="1432893"/>
                  <wp:effectExtent b="0" l="0" r="0" t="0"/>
                  <wp:docPr descr="Gráfico de las respuestas de Formularios. Título de la pregunta: ¿Qué componente del Programa de Seguridad del Paciente permite identificar riesgos antes de que ocurran eventos adversos?. Número de respuestas: 2/2 respuestas correctas." id="39" name="image1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é componente del Programa de Seguridad del Paciente permite identificar riesgos antes de que ocurran eventos adversos?. Número de respuestas: 2/2 respuestas correctas."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562" cy="14328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4: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4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4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</w:p>
          <w:p w:rsidR="00000000" w:rsidDel="00000000" w:rsidP="00000000" w:rsidRDefault="00000000" w:rsidRPr="00000000" w14:paraId="00000091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l0u0wgm5bzqr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rrrkovfny6up" w:id="10"/>
            <w:bookmarkEnd w:id="10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592106" cy="1316367"/>
                  <wp:effectExtent b="0" l="0" r="0" t="0"/>
                  <wp:docPr descr="Gráfico de las respuestas de Formularios. Título de la pregunta: ¿Cuál de las siguientes estrategias forma parte de un plan de acción dentro del Programa de Seguridad del Paciente?. Número de respuestas: 2/2 respuestas correctas." id="36" name="image8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as siguientes estrategias forma parte de un plan de acción dentro del Programa de Seguridad del Paciente?. Número de respuestas: 2/2 respuestas correctas."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106" cy="13163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592106" cy="1316367"/>
                  <wp:effectExtent b="0" l="0" r="0" t="0"/>
                  <wp:docPr descr="Gráfico de las respuestas de Formularios. Título de la pregunta: ¿Cuál de las siguientes estrategias forma parte de un plan de acción dentro del Programa de Seguridad del Paciente?. Número de respuestas: 2/2 respuestas correctas." id="38" name="image8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as siguientes estrategias forma parte de un plan de acción dentro del Programa de Seguridad del Paciente?. Número de respuestas: 2/2 respuestas correctas."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106" cy="13163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5: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4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4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</w:p>
          <w:p w:rsidR="00000000" w:rsidDel="00000000" w:rsidP="00000000" w:rsidRDefault="00000000" w:rsidRPr="00000000" w14:paraId="00000096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611438" cy="1326185"/>
                  <wp:effectExtent b="0" l="0" r="0" t="0"/>
                  <wp:docPr descr="Gráfico de las respuestas de Formularios. Título de la pregunta: La herramienta que se utiliza para analizar las causas raíz de eventos adversos dentro del Programa de Seguridad del Paciente es el Protocolo de Londres&#10;. Número de respuestas: 2/2 respuestas correctas." id="40" name="image11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La herramienta que se utiliza para analizar las causas raíz de eventos adversos dentro del Programa de Seguridad del Paciente es el Protocolo de Londres&#10;. Número de respuestas: 2/2 respuestas correctas."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438" cy="1326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611438" cy="1326185"/>
                  <wp:effectExtent b="0" l="0" r="0" t="0"/>
                  <wp:docPr descr="Gráfico de las respuestas de Formularios. Título de la pregunta: La herramienta que se utiliza para analizar las causas raíz de eventos adversos dentro del Programa de Seguridad del Paciente es el Protocolo de Londres&#10;. Número de respuestas: 2/2 respuestas correctas." id="42" name="image11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La herramienta que se utiliza para analizar las causas raíz de eventos adversos dentro del Programa de Seguridad del Paciente es el Protocolo de Londres&#10;. Número de respuestas: 2/2 respuestas correctas."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438" cy="1326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INFORME DE ADHERENCIA A CAPACITACIÓN </w:t>
            </w:r>
          </w:p>
          <w:p w:rsidR="00000000" w:rsidDel="00000000" w:rsidP="00000000" w:rsidRDefault="00000000" w:rsidRPr="00000000" w14:paraId="00000098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7ri2hb5ddg6" w:id="11"/>
            <w:bookmarkEnd w:id="11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una mejora significativa en los conocimientos de los participantes.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5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Pre-Test: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10 respuestas correctas de 10 preguntas planteadas (100% de cumplimiento).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5"/>
              </w:numPr>
              <w:spacing w:after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Post-Test: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10 respuestas correctas de 21 preguntas planteadas (100% de cumplimiento).</w:t>
            </w:r>
          </w:p>
          <w:p w:rsidR="00000000" w:rsidDel="00000000" w:rsidP="00000000" w:rsidRDefault="00000000" w:rsidRPr="00000000" w14:paraId="0000009B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análisis demuestra que, inicialmente, los colaboradores tenían errores recurrentes en 1 de las 5 preguntas planteadas por persona, lo que refleja un nivel de conocimiento parcial del tema antes de la capacitación. Sin embargo, tras el proceso formativo, lograron responder correctamente el 100% de las preguntas, validando la efectividad de la capacitación.</w:t>
            </w:r>
          </w:p>
          <w:p w:rsidR="00000000" w:rsidDel="00000000" w:rsidP="00000000" w:rsidRDefault="00000000" w:rsidRPr="00000000" w14:paraId="0000009C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6"/>
              </w:numPr>
              <w:tabs>
                <w:tab w:val="left" w:leader="none" w:pos="2129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  <w:rtl w:val="0"/>
              </w:rPr>
              <w:t xml:space="preserve">CIERRE.</w:t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11:30 a.m. La asesora del área de calidad agradece a los presentes por su participación en la capacitación.</w:t>
            </w:r>
          </w:p>
        </w:tc>
      </w:tr>
    </w:tbl>
    <w:p w:rsidR="00000000" w:rsidDel="00000000" w:rsidP="00000000" w:rsidRDefault="00000000" w:rsidRPr="00000000" w14:paraId="0000009F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0"/>
        <w:gridCol w:w="3060"/>
        <w:gridCol w:w="2550"/>
        <w:tblGridChange w:id="0">
          <w:tblGrid>
            <w:gridCol w:w="4110"/>
            <w:gridCol w:w="3060"/>
            <w:gridCol w:w="255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7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ind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211138</wp:posOffset>
                  </wp:positionH>
                  <wp:positionV relativeFrom="paragraph">
                    <wp:posOffset>114300</wp:posOffset>
                  </wp:positionV>
                  <wp:extent cx="981075" cy="346541"/>
                  <wp:effectExtent b="0" l="0" r="0" t="0"/>
                  <wp:wrapNone/>
                  <wp:docPr id="2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346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Melanie Veloza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Auxiliar Administrativo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106366</wp:posOffset>
                  </wp:positionH>
                  <wp:positionV relativeFrom="paragraph">
                    <wp:posOffset>114300</wp:posOffset>
                  </wp:positionV>
                  <wp:extent cx="981075" cy="438150"/>
                  <wp:effectExtent b="0" l="0" r="0" t="0"/>
                  <wp:wrapNone/>
                  <wp:docPr id="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8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before="12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1268413" cy="457200"/>
                  <wp:effectExtent b="0" l="0" r="0" t="0"/>
                  <wp:docPr id="4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413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C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C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C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C6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01 de Enero de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C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C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C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C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yellow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CB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highlight w:val="white"/>
              <w:rtl w:val="0"/>
            </w:rPr>
            <w:t xml:space="preserve">Carlos Vizcaino</w:t>
          </w:r>
        </w:p>
        <w:p w:rsidR="00000000" w:rsidDel="00000000" w:rsidP="00000000" w:rsidRDefault="00000000" w:rsidRPr="00000000" w14:paraId="000000C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Profesional Independiente</w:t>
          </w:r>
        </w:p>
      </w:tc>
      <w:tc>
        <w:tcPr/>
        <w:p w:rsidR="00000000" w:rsidDel="00000000" w:rsidP="00000000" w:rsidRDefault="00000000" w:rsidRPr="00000000" w14:paraId="000000C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CE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D3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8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4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3.png"/><Relationship Id="rId10" Type="http://schemas.openxmlformats.org/officeDocument/2006/relationships/image" Target="media/image5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PMqt2Zvqsw0X2non2ogn1HzZg==">CgMxLjAyDmgubm9pa2s4Y3UwcXQ1Mg5oLnh5MnM1enNoa3dmMjIOaC40YjVqN3FqZWNhdXoyDmguNnl2MzRsdm9kd3hrMg5oLjl6bjRyamxrbjBtNTIOaC4xd2N1ZjkyandjeTkyDmgudmNtMW96N242NTdlMg5oLnExeHUwN24wZndnaDIOaC4ybjB0aGgxMnd5MjEyDmgubDB1MHdnbTVienFyMg5oLnJycmtvdmZueTZ1cDIOaC5lN3JpMmhiNWRkZzY4AHIhMU5HVDBwcklZVjVXdDRMUVFpTGpKOFQ1NC1jNTRwV29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