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Evaluar los aspectos normativos y de calidad relacionados con la habilitación de servicios de salud, conforme a la Resolución 3100 de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22 DE ABRIL- 2025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11:00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11:30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de Buenas prácticas seguras al paciente.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Evaluación y adherencia sobre temas explicados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Preguntas acerca del 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Cierre de la capacitación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after="40" w:before="40" w:lineRule="auto"/>
              <w:ind w:left="720" w:hanging="2.0000000000000284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ACTIVIDAD: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11:00 am del día 22 de abril del 2025, se inicia capacitación a los trabajadores dando a conocer que 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noikk8cu0qt5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la Actividad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ebe4ldv5nsat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Introducción a la Seguridad del Paciente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3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Definición y objetivos de la seguridad del paciente.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3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Importancia de la implementación de buenas prácticas.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3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Impacto de los errores en la atención en salud.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3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Estrategias globales y nacionales para la seguridad del paciente.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9g983bej6qc2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Tipos de Eventos Relacionados con la Seguridad del Paciente</w:t>
            </w:r>
          </w:p>
          <w:p w:rsidR="00000000" w:rsidDel="00000000" w:rsidP="00000000" w:rsidRDefault="00000000" w:rsidRPr="00000000" w14:paraId="00000042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abordaron los principales eventos que pueden afectar la seguridad del paciente, entre ellos: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6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Incidente: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Situación que pudo haber causado daño, pero fue detectada a tiempo.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Evento adverso: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Daño no intencional ocurrido durante la atención en salud.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Evento centinela: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Evento grave que genera la muerte o daño permanente.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6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Complicación: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Evento derivado de la evolución de la enfermedad del paciente, no atribuible a errores en la atención.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xgrr2m6gv12w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Procesos Institucionales Seguros</w:t>
            </w:r>
          </w:p>
          <w:p w:rsidR="00000000" w:rsidDel="00000000" w:rsidP="00000000" w:rsidRDefault="00000000" w:rsidRPr="00000000" w14:paraId="00000048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fortalecer la seguridad en el consultorio, se enfatizó en: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Implementación de protocolos según la normatividad vigente (Resolución 3100 de 2019).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continua del personal en seguridad del paciente.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Fomento de la cultura de reporte de eventos sin represalias.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Identificación de riesgos y estrategias de mejora continua.</w:t>
            </w:r>
          </w:p>
          <w:p w:rsidR="00000000" w:rsidDel="00000000" w:rsidP="00000000" w:rsidRDefault="00000000" w:rsidRPr="00000000" w14:paraId="0000004D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Como la creación de un Comité de Seguridad del Paciente para el análisis de eventos adversos y acciones de mejora.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w3cczetjojsy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Procesos Asistenciales Seguros</w:t>
            </w:r>
          </w:p>
          <w:p w:rsidR="00000000" w:rsidDel="00000000" w:rsidP="00000000" w:rsidRDefault="00000000" w:rsidRPr="00000000" w14:paraId="0000004F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discutieron las buenas prácticas en la atención, tales como: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0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identidad antes de la atención.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Aplicación de protocolos de bioseguridad.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Manejo adecuado de historias clínicas y confidencialidad de datos.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0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Implementación de listas de verificación en procedimientos clínicos ambulatorios.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4nptcwsskvtc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Prevención de Infecciones Asociadas a la Atención en Salud (IAAS)</w:t>
            </w:r>
          </w:p>
          <w:p w:rsidR="00000000" w:rsidDel="00000000" w:rsidP="00000000" w:rsidRDefault="00000000" w:rsidRPr="00000000" w14:paraId="00000055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Dado que las infecciones son una de las principales causas de eventos adversos en salud, se abordaron estrategias clave para prevenirlas: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9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Higiene de manos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según los 5 momentos de la OMS.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Uso adecuado de Elementos de Protección Personal (EPP).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Limpieza y desinfección de superficies, camillas y equipos biomédicos.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Manejo correcto de residuos hospitalarios.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9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Vacunación del personal de salud.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kim78qw6y7r" w:id="6"/>
            <w:bookmarkEnd w:id="6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Prevención de Riesgo de Caídas</w:t>
            </w:r>
          </w:p>
          <w:p w:rsidR="00000000" w:rsidDel="00000000" w:rsidP="00000000" w:rsidRDefault="00000000" w:rsidRPr="00000000" w14:paraId="0000005C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Dado que en la entidad se atienden pacientes con movilidad reducida, se abordaron medidas preventivas: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5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Evaluación del riesgo de caídas en pacientes vulnerables (adultos mayores, personas con movilidad reducida).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Eliminación de obstáculos en pasillos y salas de espera.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Correcta iluminación en todas las áreas.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Señalización adecuada en pisos resbalosos.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5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Educación al paciente y cuidadores sobre prevención de caídas en casa.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ld2tq3qbben4" w:id="7"/>
            <w:bookmarkEnd w:id="7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Seguridad en la Aplicación de Medicamentos</w:t>
            </w:r>
          </w:p>
          <w:p w:rsidR="00000000" w:rsidDel="00000000" w:rsidP="00000000" w:rsidRDefault="00000000" w:rsidRPr="00000000" w14:paraId="00000063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minimizar errores en la administración de medicamentos, se reforzó la aplicación de la regla de los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5 correctos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:</w:t>
              <w:br w:type="textWrapping"/>
              <w:t xml:space="preserve">✔️ Paciente correcto</w:t>
              <w:br w:type="textWrapping"/>
              <w:t xml:space="preserve">✔️ Medicamento correcto</w:t>
              <w:br w:type="textWrapping"/>
              <w:t xml:space="preserve">✔️ Dosis correcta</w:t>
              <w:br w:type="textWrapping"/>
              <w:t xml:space="preserve">✔️ Vía de administración correcta</w:t>
              <w:br w:type="textWrapping"/>
              <w:t xml:space="preserve">✔️ Hora correcta</w:t>
            </w:r>
          </w:p>
          <w:p w:rsidR="00000000" w:rsidDel="00000000" w:rsidP="00000000" w:rsidRDefault="00000000" w:rsidRPr="00000000" w14:paraId="00000064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Otras estrategias incluyen: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7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Identificación clara y almacenamiento adecuado de medicamentos.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7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etiquetas y fechas de vencimiento.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7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Restricción del acceso a medicamentos de alto riesgo.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7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Registro en la historia clínica de cada administración de medicamentos.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m97l86ik0ocr" w:id="8"/>
            <w:bookmarkEnd w:id="8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Correcta Identificación del Paciente</w:t>
            </w:r>
          </w:p>
          <w:p w:rsidR="00000000" w:rsidDel="00000000" w:rsidP="00000000" w:rsidRDefault="00000000" w:rsidRPr="00000000" w14:paraId="0000006A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La identificación errónea del paciente es una causa frecuente de eventos adversos. Para prevenirla, se enfatizó en: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8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Uso de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dos identificadores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(nombre completo y documento de identidad).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8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Confirmación verbal antes de cualquier procedimiento.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8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Evitar la identificación basada en la apariencia o suposiciones.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8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Implementación de listas de verificación para la consulta externa.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rgh44yfbz55" w:id="9"/>
            <w:bookmarkEnd w:id="9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Seguridad en la Atención de Ayudas Diagnósticas</w:t>
            </w:r>
          </w:p>
          <w:p w:rsidR="00000000" w:rsidDel="00000000" w:rsidP="00000000" w:rsidRDefault="00000000" w:rsidRPr="00000000" w14:paraId="00000070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Dado que las ayudas diagnósticas son clave para la atención en salud, se abordaron estrategias para mejorar su seguridad: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2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Confirmación de identidad antes de realizar pruebas.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2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Brindar información clara al paciente sobre la preparación previa.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2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Mantenimiento preventivo de equipos biomédicos.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2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en la correcta toma de muestras.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tjdsiq5fm4fl" w:id="10"/>
            <w:bookmarkEnd w:id="1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Participación del Paciente y su Familia en su Seguridad</w:t>
            </w:r>
          </w:p>
          <w:p w:rsidR="00000000" w:rsidDel="00000000" w:rsidP="00000000" w:rsidRDefault="00000000" w:rsidRPr="00000000" w14:paraId="00000076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paciente y su familia son aliados en la seguridad. Se promovió: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4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Educación sobre el diagnóstico y tratamiento.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Empoderamiento del paciente para participar activamente en su seguridad.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Socialización de derechos y deberes del paciente.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4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Fomento de la comunicación abierta con el equipo de salud.</w:t>
            </w:r>
          </w:p>
          <w:p w:rsidR="00000000" w:rsidDel="00000000" w:rsidP="00000000" w:rsidRDefault="00000000" w:rsidRPr="00000000" w14:paraId="0000007B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4105275</wp:posOffset>
                  </wp:positionH>
                  <wp:positionV relativeFrom="paragraph">
                    <wp:posOffset>152400</wp:posOffset>
                  </wp:positionV>
                  <wp:extent cx="1790700" cy="1007269"/>
                  <wp:effectExtent b="0" l="0" r="0" t="0"/>
                  <wp:wrapNone/>
                  <wp:docPr id="5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0072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114300</wp:posOffset>
                  </wp:positionV>
                  <wp:extent cx="1798637" cy="995171"/>
                  <wp:effectExtent b="0" l="0" r="0" t="0"/>
                  <wp:wrapNone/>
                  <wp:docPr id="5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637" cy="9951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2181225</wp:posOffset>
                  </wp:positionH>
                  <wp:positionV relativeFrom="paragraph">
                    <wp:posOffset>161925</wp:posOffset>
                  </wp:positionV>
                  <wp:extent cx="1791984" cy="990600"/>
                  <wp:effectExtent b="0" l="0" r="0" t="0"/>
                  <wp:wrapNone/>
                  <wp:docPr id="5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984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C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228600</wp:posOffset>
                  </wp:positionV>
                  <wp:extent cx="1857375" cy="1041702"/>
                  <wp:effectExtent b="0" l="0" r="0" t="0"/>
                  <wp:wrapNone/>
                  <wp:docPr id="4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0417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2181225</wp:posOffset>
                  </wp:positionH>
                  <wp:positionV relativeFrom="paragraph">
                    <wp:posOffset>228600</wp:posOffset>
                  </wp:positionV>
                  <wp:extent cx="1863802" cy="1038225"/>
                  <wp:effectExtent b="0" l="0" r="0" t="0"/>
                  <wp:wrapNone/>
                  <wp:docPr id="4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802" cy="1038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4100512</wp:posOffset>
                  </wp:positionH>
                  <wp:positionV relativeFrom="paragraph">
                    <wp:posOffset>247650</wp:posOffset>
                  </wp:positionV>
                  <wp:extent cx="1866900" cy="1037167"/>
                  <wp:effectExtent b="0" l="0" r="0" t="0"/>
                  <wp:wrapNone/>
                  <wp:docPr id="4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037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F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finaliza realizando la evaluación de los conocimientos previos y se hace la socialización de las respuestas.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y2s5zshkwf2" w:id="11"/>
            <w:bookmarkEnd w:id="1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ANÁLISIS DE EVALUACIÓN / PRE-TEST Y POST-TEST</w:t>
            </w:r>
          </w:p>
          <w:p w:rsidR="00000000" w:rsidDel="00000000" w:rsidP="00000000" w:rsidRDefault="00000000" w:rsidRPr="00000000" w14:paraId="00000085">
            <w:pPr>
              <w:spacing w:after="200" w:line="240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4b5j7qjecauz" w:id="12"/>
            <w:bookmarkEnd w:id="12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Antes de iniciar la capacitación, se aplicó un pre-test a los participantes para identificar su nivel inicial de conocimiento. Tras la capacitación, se realizó un post-test con el mismo contenido para medir el aprendizaje logrado. A continuación, se detalla el comparativo entre los resultados del pre-test y el post-test: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40" w:before="240" w:lin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6yv34lvodwxk" w:id="13"/>
            <w:bookmarkEnd w:id="1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DETALLE DE INFORMACIÓN DE LA EVALUACIÓN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7"/>
              </w:numPr>
              <w:spacing w:before="240"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zn4rjlkn0m5" w:id="14"/>
            <w:bookmarkEnd w:id="1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Cantidad de participantes: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wcuf92jwcy9" w:id="15"/>
            <w:bookmarkEnd w:id="1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Puntaje asignado por respuesta correcta: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 1 puntos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7"/>
              </w:numPr>
              <w:spacing w:after="240"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cm1oz7n657e" w:id="16"/>
            <w:bookmarkEnd w:id="16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Total de preguntas planteadas: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20 (5 preguntas por participante)</w:t>
            </w:r>
          </w:p>
          <w:p w:rsidR="00000000" w:rsidDel="00000000" w:rsidP="00000000" w:rsidRDefault="00000000" w:rsidRPr="00000000" w14:paraId="0000008A">
            <w:pPr>
              <w:spacing w:after="240" w:before="240" w:lin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Comparativo Pre-Test vs Post-Test por pregunta:</w:t>
            </w:r>
          </w:p>
          <w:p w:rsidR="00000000" w:rsidDel="00000000" w:rsidP="00000000" w:rsidRDefault="00000000" w:rsidRPr="00000000" w14:paraId="0000008B">
            <w:pPr>
              <w:spacing w:after="240" w:before="240" w:lin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1: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9"/>
              </w:numPr>
              <w:spacing w:before="240" w:lin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q1xu07n0fwgh" w:id="17"/>
            <w:bookmarkEnd w:id="17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8E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480986" cy="1259936"/>
                  <wp:effectExtent b="0" l="0" r="0" t="0"/>
                  <wp:docPr descr="Gráfico de las respuestas de Formularios. Título de la pregunta: ¿Cuál de las siguientes prácticas ayuda a prevenir infecciones asociadas a la atención en salud (IAAS)?. Número de respuestas: 2/2 respuestas correctas." id="42" name="image6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as siguientes prácticas ayuda a prevenir infecciones asociadas a la atención en salud (IAAS)?. Número de respuestas: 2/2 respuestas correctas."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986" cy="12599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480986" cy="1259936"/>
                  <wp:effectExtent b="0" l="0" r="0" t="0"/>
                  <wp:docPr descr="Gráfico de las respuestas de Formularios. Título de la pregunta: ¿Cuál de las siguientes prácticas ayuda a prevenir infecciones asociadas a la atención en salud (IAAS)?. Número de respuestas: 2/2 respuestas correctas." id="46" name="image6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as siguientes prácticas ayuda a prevenir infecciones asociadas a la atención en salud (IAAS)?. Número de respuestas: 2/2 respuestas correctas."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986" cy="12599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2: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93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bolicas8f686" w:id="18"/>
            <w:bookmarkEnd w:id="18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788920" cy="1331552"/>
                  <wp:effectExtent b="0" l="0" r="0" t="0"/>
                  <wp:docPr descr="Gráfico de las respuestas de Formularios. Título de la pregunta: ¿Cuál de las siguientes acciones ayuda a prevenir caídas?. Número de respuestas: 2/2 respuestas correctas." id="45" name="image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as siguientes acciones ayuda a prevenir caídas?. Número de respuestas: 2/2 respuestas correctas."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3315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729070" cy="1302977"/>
                  <wp:effectExtent b="0" l="0" r="0" t="0"/>
                  <wp:docPr descr="Gráfico de las respuestas de Formularios. Título de la pregunta: ¿Cuál de las siguientes acciones ayuda a prevenir caídas?. Número de respuestas: 2/2 respuestas correctas." id="52" name="image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as siguientes acciones ayuda a prevenir caídas?. Número de respuestas: 2/2 respuestas correctas."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070" cy="13029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3: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/4 preguntas planteadas (100%)</w:t>
            </w:r>
          </w:p>
          <w:p w:rsidR="00000000" w:rsidDel="00000000" w:rsidP="00000000" w:rsidRDefault="00000000" w:rsidRPr="00000000" w14:paraId="00000097">
            <w:pPr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968642" cy="1507586"/>
                  <wp:effectExtent b="0" l="0" r="0" t="0"/>
                  <wp:docPr descr="Gráfico de las respuestas de Formularios. Título de la pregunta: ¿Qué acción es clave para garantizar una correcta identificación del paciente en una IPS ambulatoria?. Número de respuestas: 2/2 respuestas correctas." id="49" name="image1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é acción es clave para garantizar una correcta identificación del paciente en una IPS ambulatoria?. Número de respuestas: 2/2 respuestas correctas." id="0" name="image1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642" cy="1507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968642" cy="1507586"/>
                  <wp:effectExtent b="0" l="0" r="0" t="0"/>
                  <wp:docPr descr="Gráfico de las respuestas de Formularios. Título de la pregunta: ¿Qué acción es clave para garantizar una correcta identificación del paciente en una IPS ambulatoria?. Número de respuestas: 2/2 respuestas correctas." id="51" name="image1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é acción es clave para garantizar una correcta identificación del paciente en una IPS ambulatoria?. Número de respuestas: 2/2 respuestas correctas." id="0" name="image1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642" cy="1507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4: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9A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l0u0wgm5bzqr" w:id="19"/>
            <w:bookmarkEnd w:id="19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924068" cy="1393286"/>
                  <wp:effectExtent b="0" l="0" r="0" t="0"/>
                  <wp:docPr descr="Gráfico de las respuestas de Formularios. Título de la pregunta: ¿Cuál de los siguientes es un evento centinela?. Número de respuestas: 2/2 respuestas correctas." id="53" name="image12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os siguientes es un evento centinela?. Número de respuestas: 2/2 respuestas correctas."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068" cy="1393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924068" cy="1393286"/>
                  <wp:effectExtent b="0" l="0" r="0" t="0"/>
                  <wp:docPr descr="Gráfico de las respuestas de Formularios. Título de la pregunta: ¿Cuál de los siguientes es un evento centinela?. Número de respuestas: 2/2 respuestas correctas." id="55" name="image12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os siguientes es un evento centinela?. Número de respuestas: 2/2 respuestas correctas."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068" cy="1393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5: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</w:p>
          <w:p w:rsidR="00000000" w:rsidDel="00000000" w:rsidP="00000000" w:rsidRDefault="00000000" w:rsidRPr="00000000" w14:paraId="0000009E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962281" cy="1504356"/>
                  <wp:effectExtent b="0" l="0" r="0" t="0"/>
                  <wp:docPr descr="Gráfico de las respuestas de Formularios. Título de la pregunta: &quot;Un paciente y su familia no deben intervenir en su proceso de atención, ya que esto es responsabilidad exclusiva del personal de salud.&quot;&#10;. Número de respuestas: 2/2 respuestas correctas." id="57" name="image1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&quot;Un paciente y su familia no deben intervenir en su proceso de atención, ya que esto es responsabilidad exclusiva del personal de salud.&quot;&#10;. Número de respuestas: 2/2 respuestas correctas."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81" cy="1504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2962281" cy="1504356"/>
                  <wp:effectExtent b="0" l="0" r="0" t="0"/>
                  <wp:docPr descr="Gráfico de las respuestas de Formularios. Título de la pregunta: &quot;Un paciente y su familia no deben intervenir en su proceso de atención, ya que esto es responsabilidad exclusiva del personal de salud.&quot;&#10;. Número de respuestas: 2/2 respuestas correctas." id="58" name="image1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&quot;Un paciente y su familia no deben intervenir en su proceso de atención, ya que esto es responsabilidad exclusiva del personal de salud.&quot;&#10;. Número de respuestas: 2/2 respuestas correctas."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81" cy="1504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sfw0ero03ga2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INFORME DE ADHERENCIA A CAPACITACIÓN </w:t>
            </w:r>
          </w:p>
          <w:p w:rsidR="00000000" w:rsidDel="00000000" w:rsidP="00000000" w:rsidRDefault="00000000" w:rsidRPr="00000000" w14:paraId="000000A1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7ri2hb5ddg6" w:id="21"/>
            <w:bookmarkEnd w:id="21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evidenció una mejora significativa en los conocimientos de los participantes.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0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Pre-Test: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20 respuestas correctas de 20 preguntas planteadas (100% de cumplimiento).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0"/>
              </w:numPr>
              <w:spacing w:after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Post-Test: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20 respuestas correctas de 20 preguntas planteadas (100% de cumplimiento).</w:t>
            </w:r>
          </w:p>
          <w:p w:rsidR="00000000" w:rsidDel="00000000" w:rsidP="00000000" w:rsidRDefault="00000000" w:rsidRPr="00000000" w14:paraId="000000A4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análisis demuestra que, inicialmente, los colaboradores tenían errores recurrentes en 1 de las 5 preguntas planteadas por persona, lo que refleja un nivel de conocimiento parcial del tema antes de la capacitación. Sin embargo, tras el proceso formativo, lograron responder correctamente el 100% de las preguntas, validando la efectividad de la capacitación.</w:t>
            </w:r>
          </w:p>
          <w:p w:rsidR="00000000" w:rsidDel="00000000" w:rsidP="00000000" w:rsidRDefault="00000000" w:rsidRPr="00000000" w14:paraId="000000A5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verificar los resultados, cada pregunta fue analizada en detalle y acompañada de gráficas comparativas entre el pre-test y el post-test. Además, durante la capacitación, se aclararon dudas y se reforzaron conceptos clave para asegurar una adecuada comprensión.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1"/>
              </w:numPr>
              <w:tabs>
                <w:tab w:val="left" w:leader="none" w:pos="2129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  <w:rtl w:val="0"/>
              </w:rPr>
              <w:t xml:space="preserve">CIERRE.</w:t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11:30 a.m. La asesora del área de calidad agradece a los presentes por su participación en la capacitación.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3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Ind w:w="-6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5"/>
        <w:gridCol w:w="3060"/>
        <w:gridCol w:w="2475"/>
        <w:tblGridChange w:id="0">
          <w:tblGrid>
            <w:gridCol w:w="4245"/>
            <w:gridCol w:w="3060"/>
            <w:gridCol w:w="247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2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Carlos Javier Vizcaino Guerrero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Medico Especialista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201613</wp:posOffset>
                  </wp:positionH>
                  <wp:positionV relativeFrom="paragraph">
                    <wp:posOffset>114300</wp:posOffset>
                  </wp:positionV>
                  <wp:extent cx="923925" cy="312315"/>
                  <wp:effectExtent b="0" l="0" r="0" t="0"/>
                  <wp:wrapNone/>
                  <wp:docPr id="4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12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Melanie Veloza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Auxiliar Administrativo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115888</wp:posOffset>
                  </wp:positionH>
                  <wp:positionV relativeFrom="paragraph">
                    <wp:posOffset>114300</wp:posOffset>
                  </wp:positionV>
                  <wp:extent cx="1019175" cy="388515"/>
                  <wp:effectExtent b="0" l="0" r="0" t="0"/>
                  <wp:wrapNone/>
                  <wp:docPr id="4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8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88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Samira Navarro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317500"/>
                  <wp:effectExtent b="0" l="0" r="0" t="0"/>
                  <wp:docPr id="3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Dalia Martinez Cardeño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457200"/>
                  <wp:effectExtent b="0" l="0" r="0" t="0"/>
                  <wp:docPr id="47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Kelly Dayana Canacue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Asesor de calidad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before="120" w:lineRule="auto"/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1268413" cy="457200"/>
                  <wp:effectExtent b="0" l="0" r="0" t="0"/>
                  <wp:docPr id="5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413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D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D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D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D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01 de Enero de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D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D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D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DB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yellow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D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highlight w:val="white"/>
              <w:rtl w:val="0"/>
            </w:rPr>
            <w:t xml:space="preserve">Carlos Vizcaino</w:t>
          </w:r>
        </w:p>
        <w:p w:rsidR="00000000" w:rsidDel="00000000" w:rsidP="00000000" w:rsidRDefault="00000000" w:rsidRPr="00000000" w14:paraId="000000DD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Gerente</w:t>
          </w:r>
        </w:p>
      </w:tc>
      <w:tc>
        <w:tcPr/>
        <w:p w:rsidR="00000000" w:rsidDel="00000000" w:rsidP="00000000" w:rsidRDefault="00000000" w:rsidRPr="00000000" w14:paraId="000000D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D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002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E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E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E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tabs>
        <w:tab w:val="right" w:leader="none" w:pos="9003"/>
      </w:tabs>
      <w:ind w:firstLine="0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9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5.png"/><Relationship Id="rId22" Type="http://schemas.openxmlformats.org/officeDocument/2006/relationships/image" Target="media/image16.png"/><Relationship Id="rId10" Type="http://schemas.openxmlformats.org/officeDocument/2006/relationships/image" Target="media/image11.png"/><Relationship Id="rId21" Type="http://schemas.openxmlformats.org/officeDocument/2006/relationships/image" Target="media/image8.jpg"/><Relationship Id="rId13" Type="http://schemas.openxmlformats.org/officeDocument/2006/relationships/image" Target="media/image6.png"/><Relationship Id="rId24" Type="http://schemas.openxmlformats.org/officeDocument/2006/relationships/footer" Target="footer1.xml"/><Relationship Id="rId12" Type="http://schemas.openxmlformats.org/officeDocument/2006/relationships/image" Target="media/image9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7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4.jpg"/><Relationship Id="rId7" Type="http://schemas.openxmlformats.org/officeDocument/2006/relationships/image" Target="media/image10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YJzg8NvkmGOKIwsHUHzj/x5q2w==">CgMxLjAyDmgubm9pa2s4Y3UwcXQ1Mg5oLmViZTRsZHY1bnNhdDIOaC45Zzk4M2JlajZxYzIyDmgueGdycjJtNmd2MTJ3Mg5oLnczY2N6ZXRqb2pzeTIOaC40bnB0Y3dzc2t2dGMyDWgua2ltNzhxdzZ5N3IyDmgubGQydHEzcWJiZW40Mg5oLm05N2w4NmlrMG9jcjIOaC5ncmdoNDR5ZmJ6NTUyDmgudGpkc2lxNWZtNGZsMg5oLnh5MnM1enNoa3dmMjIOaC40YjVqN3FqZWNhdXoyDmguNnl2MzRsdm9kd3hrMg5oLjl6bjRyamxrbjBtNTIOaC4xd2N1ZjkyandjeTkyDmgudmNtMW96N242NTdlMg5oLnExeHUwN24wZndnaDIOaC5ib2xpY2FzOGY2ODYyDmgubDB1MHdnbTVienFyMg5oLnNmdzBlcm8wM2dhMjIOaC5lN3JpMmhiNWRkZzY4AHIhMTNWUmJIODAwbkVTa0xlVENYdUl5MDdtci1mSTh1ND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