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1"/>
        </w:trPr>
        <w:tc>
          <w:tcPr>
            <w:gridSpan w:val="4"/>
          </w:tcPr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C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B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525"/>
        <w:tblGridChange w:id="0">
          <w:tblGrid>
            <w:gridCol w:w="3120"/>
            <w:gridCol w:w="3120"/>
            <w:gridCol w:w="352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Evaluar los aspectos normativos y de calidad relacionados con la habilitación de servicios de salud, conforme a la Resolución 3100 de 2019.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29 DE MAY- 2025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11:00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11:30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6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16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 de Buenas prácticas seguras al paciente.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16"/>
              </w:numPr>
              <w:ind w:left="425.19685039370086" w:right="88.93700787401599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Evaluación y adherencia sobre temas explicados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16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Preguntas acerca del 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16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Cierre de la capacitación</w:t>
            </w:r>
          </w:p>
        </w:tc>
      </w:tr>
    </w:tbl>
    <w:p w:rsidR="00000000" w:rsidDel="00000000" w:rsidP="00000000" w:rsidRDefault="00000000" w:rsidRPr="00000000" w14:paraId="0000002C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.2089843750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after="40" w:before="40" w:lineRule="auto"/>
              <w:ind w:left="720" w:hanging="2.0000000000000284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ACTIVIDAD: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ind w:left="720"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11:00 am del día 29 de mayo del 2025, se inicia capacitación a los trabajadores dando a conocer que 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noikk8cu0qt5" w:id="0"/>
            <w:bookmarkEnd w:id="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 de la Actividad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124qv0of6egt" w:id="1"/>
            <w:bookmarkEnd w:id="1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La capacitación se centró en reforzar los conceptos básicos y operativos sobre higiene de manos, haciendo especial énfasis en su aplicación en entornos ambulatorios de atención, donde el contacto directo con el paciente y con superficies clínicas puede representar un riesgo de transmisión cruzada si no se aplican medidas correctas. Se abordaron los siguientes temas: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3ye9zxz4ee4m" w:id="2"/>
            <w:bookmarkEnd w:id="2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Importancia de la Higiene de Manos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inició destacando que mantener las manos limpias es una de las formas más efectivas para evitar enfermarse y prevenir la propagación de microorganismos.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presentaron datos de la OMS sobre la relación entre la higiene de manos deficiente y la aparición de infecciones en el entorno sanitario.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recordó que el contacto con manos contaminadas puede facilitar la transmisión de bacterias multirresistentes, virus y otros patógenos a los pacientes y compañeros de trabajo.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26asdp7odqpx" w:id="3"/>
            <w:bookmarkEnd w:id="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Fundamentos según la OMS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0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explicó que la higiene de manos es una prioridad mundial en la atención en salud. La OMS promueve campañas anuales como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22"/>
                <w:szCs w:val="22"/>
                <w:rtl w:val="0"/>
              </w:rPr>
              <w:t xml:space="preserve">“Salve vidas: límpiese las manos”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, recordando que una atención limpia es una atención más segura.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0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comparó el lavado de manos con una “vacuna autoadministrada” debido a su eficacia en la prevención de enfermedades transmisibles.</w:t>
              <w:br w:type="textWrapping"/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7y8y6jx2mpgs" w:id="4"/>
            <w:bookmarkEnd w:id="4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¿Cuándo realizar higiene de manos? – Los 5 momentos de la OMS</w:t>
            </w:r>
          </w:p>
          <w:p w:rsidR="00000000" w:rsidDel="00000000" w:rsidP="00000000" w:rsidRDefault="00000000" w:rsidRPr="00000000" w14:paraId="00000045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socializaron los cinco momentos clave en los que el personal debe realizar higiene de manos: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9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Antes del contacto con el paciente.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9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Antes de realizar procedimientos limpios o asépticos.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9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Después de la exposición a fluidos corporales.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9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Después del contacto con el paciente.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9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Después del contacto con el entorno del paciente.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z9jq84xn704" w:id="5"/>
            <w:bookmarkEnd w:id="5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¿Cómo realizar correctamente el lavado de manos?</w:t>
            </w:r>
          </w:p>
          <w:p w:rsidR="00000000" w:rsidDel="00000000" w:rsidP="00000000" w:rsidRDefault="00000000" w:rsidRPr="00000000" w14:paraId="0000004C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presentó paso a paso el procedimiento correcto: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1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Mojar completamente las manos.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Aplicar jabón suficiente.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Frotar palmas, dorsos, entre los dedos, pulgares, puntas de los dedos y muñecas, por al menos 20 a 30 segundos.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1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Enjuagar con agua potable.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1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Secar con toalla desechable.</w:t>
            </w:r>
          </w:p>
          <w:p w:rsidR="00000000" w:rsidDel="00000000" w:rsidP="00000000" w:rsidRDefault="00000000" w:rsidRPr="00000000" w14:paraId="00000052">
            <w:pPr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utilizaron ilustraciones para reforzar los movimientos correctos del frotado.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6tu5g3s2fv3e" w:id="6"/>
            <w:bookmarkEnd w:id="6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¿Cómo realizar la desinfección de manos con alcohol glicerinado?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Aplicar suficiente cantidad de solución hidroalcohólica (mínimo 3 ml).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Frotar las manos con los mismos movimientos del lavado.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Continuar hasta que el producto se seque completamente (20-30 segundos).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No secar con papel ni enjuagar.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7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aclaró que la desinfección no sustituye el lavado si las manos están visiblemente sucias.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76" w:lineRule="auto"/>
              <w:ind w:left="720" w:right="0" w:hanging="360"/>
              <w:jc w:val="left"/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1la6c13ylz0l" w:id="7"/>
            <w:bookmarkEnd w:id="7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Recomendaciones adicionales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8"/>
              </w:numPr>
              <w:spacing w:after="0"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Utilizar desinfectantes con principios activos autorizados por la OMS.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8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Verificar la disponibilidad de insumos en consultorios y puntos de atención.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8"/>
              </w:numPr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Reportar la falta de jabón, toallas o dispensadores dañados al área responsable.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8"/>
              </w:numPr>
              <w:spacing w:after="24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Educar a los pacientes y acompañantes sobre el lavado de manos antes y después de las sesiones.</w:t>
            </w:r>
          </w:p>
          <w:p w:rsidR="00000000" w:rsidDel="00000000" w:rsidP="00000000" w:rsidRDefault="00000000" w:rsidRPr="00000000" w14:paraId="0000005E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finaliza realizando la evaluación de los conocimientos previos y se hace la socialización de las respuestas.</w:t>
            </w:r>
          </w:p>
          <w:p w:rsidR="00000000" w:rsidDel="00000000" w:rsidP="00000000" w:rsidRDefault="00000000" w:rsidRPr="00000000" w14:paraId="0000005F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685800</wp:posOffset>
                  </wp:positionH>
                  <wp:positionV relativeFrom="paragraph">
                    <wp:posOffset>133350</wp:posOffset>
                  </wp:positionV>
                  <wp:extent cx="925613" cy="1904119"/>
                  <wp:effectExtent b="0" l="0" r="0" t="0"/>
                  <wp:wrapNone/>
                  <wp:docPr id="10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613" cy="19041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1990725</wp:posOffset>
                  </wp:positionH>
                  <wp:positionV relativeFrom="paragraph">
                    <wp:posOffset>114300</wp:posOffset>
                  </wp:positionV>
                  <wp:extent cx="923925" cy="1902737"/>
                  <wp:effectExtent b="0" l="0" r="0" t="0"/>
                  <wp:wrapNone/>
                  <wp:docPr id="10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9027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3171825</wp:posOffset>
                  </wp:positionH>
                  <wp:positionV relativeFrom="paragraph">
                    <wp:posOffset>133350</wp:posOffset>
                  </wp:positionV>
                  <wp:extent cx="947615" cy="1905000"/>
                  <wp:effectExtent b="0" l="0" r="0" t="0"/>
                  <wp:wrapNone/>
                  <wp:docPr id="10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615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4371975</wp:posOffset>
                  </wp:positionH>
                  <wp:positionV relativeFrom="paragraph">
                    <wp:posOffset>114300</wp:posOffset>
                  </wp:positionV>
                  <wp:extent cx="1010711" cy="1945142"/>
                  <wp:effectExtent b="0" l="0" r="0" t="0"/>
                  <wp:wrapNone/>
                  <wp:docPr id="10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711" cy="19451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2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5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xy2s5zshkwf2" w:id="8"/>
            <w:bookmarkEnd w:id="8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ANÁLISIS DE EVALUACIÓN / PRE-TEST Y POST-TEST</w:t>
            </w:r>
          </w:p>
          <w:p w:rsidR="00000000" w:rsidDel="00000000" w:rsidP="00000000" w:rsidRDefault="00000000" w:rsidRPr="00000000" w14:paraId="0000006B">
            <w:pPr>
              <w:spacing w:after="20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4b5j7qjecauz" w:id="9"/>
            <w:bookmarkEnd w:id="9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Antes de iniciar la capacitación, se aplicó un pre-test a los participantes para identificar su nivel inicial de conocimiento. Tras la capacitación, se realizó un post-test con el mismo contenido para medir el aprendizaje logrado. A continuación, se detalla el comparativo entre los resultados del pre-test y el post-test: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bookmarkStart w:colFirst="0" w:colLast="0" w:name="_heading=h.6yv34lvodwxk" w:id="10"/>
            <w:bookmarkEnd w:id="10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DETALLE DE INFORMACIÓN DE LA EVALUACIÓN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4"/>
              </w:numPr>
              <w:spacing w:before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9zn4rjlkn0m5" w:id="11"/>
            <w:bookmarkEnd w:id="11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Cantidad de participantes: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4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4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1wcuf92jwcy9" w:id="12"/>
            <w:bookmarkEnd w:id="12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Puntaje asignado por respuesta correcta: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5 puntos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4"/>
              </w:numPr>
              <w:spacing w:after="24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vcm1oz7n657e" w:id="13"/>
            <w:bookmarkEnd w:id="13"/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Total de preguntas planteadas: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20 (5 preguntas por participante)</w:t>
            </w:r>
          </w:p>
          <w:p w:rsidR="00000000" w:rsidDel="00000000" w:rsidP="00000000" w:rsidRDefault="00000000" w:rsidRPr="00000000" w14:paraId="00000070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Comparativo Pre-Test vs Post-Test por pregunta: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1: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6"/>
              </w:numPr>
              <w:spacing w:befor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6"/>
              </w:numPr>
              <w:spacing w:after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q1xu07n0fwgh" w:id="14"/>
            <w:bookmarkEnd w:id="14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104778</wp:posOffset>
                  </wp:positionH>
                  <wp:positionV relativeFrom="paragraph">
                    <wp:posOffset>285750</wp:posOffset>
                  </wp:positionV>
                  <wp:extent cx="2706688" cy="1293557"/>
                  <wp:effectExtent b="0" l="0" r="0" t="0"/>
                  <wp:wrapNone/>
                  <wp:docPr descr="Gráfico de las respuestas de Formularios. Título de la pregunta: 1. ¿Cuál de las siguientes afirmaciones resume mejor la importancia de lavarse las manos?. Número de respuestas: 4/4 respuestas correctas." id="101" name="image17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1. ¿Cuál de las siguientes afirmaciones resume mejor la importancia de lavarse las manos?. Número de respuestas: 4/4 respuestas correctas." id="0" name="image1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688" cy="12935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3171825</wp:posOffset>
                  </wp:positionH>
                  <wp:positionV relativeFrom="paragraph">
                    <wp:posOffset>285750</wp:posOffset>
                  </wp:positionV>
                  <wp:extent cx="2706688" cy="1293557"/>
                  <wp:effectExtent b="0" l="0" r="0" t="0"/>
                  <wp:wrapNone/>
                  <wp:docPr descr="Gráfico de las respuestas de Formularios. Título de la pregunta: 1. ¿Cuál de las siguientes afirmaciones resume mejor la importancia de lavarse las manos?. Número de respuestas: 4/4 respuestas correctas." id="104" name="image17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1. ¿Cuál de las siguientes afirmaciones resume mejor la importancia de lavarse las manos?. Número de respuestas: 4/4 respuestas correctas." id="0" name="image1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688" cy="12935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4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40" w:before="240" w:lineRule="auto"/>
              <w:ind w:firstLine="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2: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6"/>
              </w:numPr>
              <w:spacing w:befor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3 respuestas correctas / 4 preguntas planteadas (75%)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6"/>
              </w:numPr>
              <w:spacing w:after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371475</wp:posOffset>
                  </wp:positionV>
                  <wp:extent cx="2840038" cy="1355246"/>
                  <wp:effectExtent b="0" l="0" r="0" t="0"/>
                  <wp:wrapNone/>
                  <wp:docPr descr="Gráfico de las respuestas de Formularios. Título de la pregunta: 2. ¿Cuantos son los momentos para la Higiene de manos?&#10;. Número de respuestas: 3/4 respuestas correctas." id="103" name="image9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2. ¿Cuantos son los momentos para la Higiene de manos?&#10;. Número de respuestas: 3/4 respuestas correctas."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038" cy="13552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3181350</wp:posOffset>
                  </wp:positionH>
                  <wp:positionV relativeFrom="paragraph">
                    <wp:posOffset>371475</wp:posOffset>
                  </wp:positionV>
                  <wp:extent cx="2838450" cy="1354940"/>
                  <wp:effectExtent b="0" l="0" r="0" t="0"/>
                  <wp:wrapNone/>
                  <wp:docPr descr="Gráfico de las respuestas de Formularios. Título de la pregunta: 2. ¿Cuantos son los momentos para la Higiene de manos?&#10;. Número de respuestas: 4/4 respuestas correctas." id="91" name="image15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2. ¿Cuantos son los momentos para la Higiene de manos?&#10;. Número de respuestas: 4/4 respuestas correctas." id="0" name="image1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354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C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b4puezw4mhs4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7dydxrdg9jaf" w:id="16"/>
            <w:bookmarkEnd w:id="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b8l9n3odeck7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gthcjp7olr34" w:id="18"/>
            <w:bookmarkEnd w:id="1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bolicas8f686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2n0thh12wy21" w:id="20"/>
            <w:bookmarkEnd w:id="2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jdgku8p4oocn" w:id="21"/>
            <w:bookmarkEnd w:id="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3: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6"/>
              </w:numPr>
              <w:spacing w:befor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6"/>
              </w:numPr>
              <w:spacing w:after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323347</wp:posOffset>
                  </wp:positionV>
                  <wp:extent cx="2725738" cy="1298841"/>
                  <wp:effectExtent b="0" l="0" r="0" t="0"/>
                  <wp:wrapNone/>
                  <wp:docPr descr="Gráfico de las respuestas de Formularios. Título de la pregunta: 3. ¿Cual es el tiempo estimado para la higiene de manos ?&#10;. Número de respuestas: 4/4 respuestas correctas." id="90" name="image14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3. ¿Cual es el tiempo estimado para la higiene de manos ?&#10;. Número de respuestas: 4/4 respuestas correctas."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738" cy="12988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3038475</wp:posOffset>
                  </wp:positionH>
                  <wp:positionV relativeFrom="paragraph">
                    <wp:posOffset>323850</wp:posOffset>
                  </wp:positionV>
                  <wp:extent cx="2725738" cy="1298841"/>
                  <wp:effectExtent b="0" l="0" r="0" t="0"/>
                  <wp:wrapNone/>
                  <wp:docPr descr="Gráfico de las respuestas de Formularios. Título de la pregunta: 3. ¿Cual es el tiempo estimado para la higiene de manos ?&#10;. Número de respuestas: 4/4 respuestas correctas." id="92" name="image14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3. ¿Cual es el tiempo estimado para la higiene de manos ?&#10;. Número de respuestas: 4/4 respuestas correctas."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738" cy="12988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6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4: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6"/>
              </w:numPr>
              <w:spacing w:befor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4 respuestas correctas / 4 preguntas planteadas (100%)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6"/>
              </w:numPr>
              <w:spacing w:after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47627</wp:posOffset>
                  </wp:positionH>
                  <wp:positionV relativeFrom="paragraph">
                    <wp:posOffset>323347</wp:posOffset>
                  </wp:positionV>
                  <wp:extent cx="2724150" cy="1383424"/>
                  <wp:effectExtent b="0" l="0" r="0" t="0"/>
                  <wp:wrapNone/>
                  <wp:docPr descr="Gráfico de las respuestas de Formularios. Título de la pregunta: 4. ¿Para la desinfeccion de manos con producto como gel antibacterial la duración del procedimiento es el mismo?&#10;. Número de respuestas: 4/4 respuestas correctas." id="94" name="image10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4. ¿Para la desinfeccion de manos con producto como gel antibacterial la duración del procedimiento es el mismo?&#10;. Número de respuestas: 4/4 respuestas correctas." id="0" name="image1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834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3038475</wp:posOffset>
                  </wp:positionH>
                  <wp:positionV relativeFrom="paragraph">
                    <wp:posOffset>323850</wp:posOffset>
                  </wp:positionV>
                  <wp:extent cx="2724150" cy="1383424"/>
                  <wp:effectExtent b="0" l="0" r="0" t="0"/>
                  <wp:wrapNone/>
                  <wp:docPr descr="Gráfico de las respuestas de Formularios. Título de la pregunta: 4. ¿Para la desinfeccion de manos con producto como gel antibacterial la duración del procedimiento es el mismo?&#10;. Número de respuestas: 4/4 respuestas correctas." id="93" name="image10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4. ¿Para la desinfeccion de manos con producto como gel antibacterial la duración del procedimiento es el mismo?&#10;. Número de respuestas: 4/4 respuestas correctas." id="0" name="image10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834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8F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l0u0wgm5bzqr" w:id="22"/>
            <w:bookmarkEnd w:id="2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rrrkovfny6up" w:id="23"/>
            <w:bookmarkEnd w:id="2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vui65imcyi19" w:id="24"/>
            <w:bookmarkEnd w:id="2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ghtjz5vxkrb1" w:id="25"/>
            <w:bookmarkEnd w:id="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5vx9ubmjcphs" w:id="26"/>
            <w:bookmarkEnd w:id="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40" w:before="240" w:lineRule="auto"/>
              <w:ind w:firstLine="0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Pregunta 5: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6"/>
              </w:numPr>
              <w:spacing w:befor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Pre-Test: 3 respuestas correctas / 4 preguntas planteadas (95%)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6"/>
              </w:numPr>
              <w:spacing w:after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Post-Test: 4 respuestas correctas / 4 preguntas planteadas (100%)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3067050</wp:posOffset>
                  </wp:positionH>
                  <wp:positionV relativeFrom="paragraph">
                    <wp:posOffset>257175</wp:posOffset>
                  </wp:positionV>
                  <wp:extent cx="2958515" cy="1409700"/>
                  <wp:effectExtent b="0" l="0" r="0" t="0"/>
                  <wp:wrapNone/>
                  <wp:docPr descr="Gráfico de las respuestas de Formularios. Título de la pregunta: 5. ¿Cuantos son los pasos para la higiene de manos?&#10;. Número de respuestas: 4/4 respuestas correctas." id="98" name="image12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5. ¿Cuantos son los pasos para la higiene de manos?&#10;. Número de respuestas: 4/4 respuestas correctas."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8515" cy="1409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104778</wp:posOffset>
                  </wp:positionH>
                  <wp:positionV relativeFrom="paragraph">
                    <wp:posOffset>257175</wp:posOffset>
                  </wp:positionV>
                  <wp:extent cx="2963863" cy="1411840"/>
                  <wp:effectExtent b="0" l="0" r="0" t="0"/>
                  <wp:wrapNone/>
                  <wp:docPr descr="Gráfico de las respuestas de Formularios. Título de la pregunta: 5. ¿Cuantos son los pasos para la higiene de manos?&#10;. Número de respuestas: 3/4 respuestas correctas." id="96" name="image7.png"/>
                  <a:graphic>
                    <a:graphicData uri="http://schemas.openxmlformats.org/drawingml/2006/picture">
                      <pic:pic>
                        <pic:nvPicPr>
                          <pic:cNvPr descr="Gráfico de las respuestas de Formularios. Título de la pregunta: 5. ¿Cuantos son los pasos para la higiene de manos?&#10;. Número de respuestas: 3/4 respuestas correctas."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863" cy="1411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98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uudh1n9whvzg" w:id="27"/>
            <w:bookmarkEnd w:id="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bvl3esawvc9z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uq301r9jxw2q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1msovww5874r" w:id="30"/>
            <w:bookmarkEnd w:id="3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sfw0ero03ga2" w:id="31"/>
            <w:bookmarkEnd w:id="3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rpg2rsxr1emm" w:id="32"/>
            <w:bookmarkEnd w:id="3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2"/>
              </w:numPr>
              <w:spacing w:after="20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INFORME DE ADHERENCIA A CAPACITACIÓN </w:t>
            </w:r>
          </w:p>
          <w:p w:rsidR="00000000" w:rsidDel="00000000" w:rsidP="00000000" w:rsidRDefault="00000000" w:rsidRPr="00000000" w14:paraId="000000A0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bookmarkStart w:colFirst="0" w:colLast="0" w:name="_heading=h.e7ri2hb5ddg6" w:id="33"/>
            <w:bookmarkEnd w:id="33"/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evidenció una mejora significativa en los conocimientos de los participantes.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3"/>
              </w:numPr>
              <w:spacing w:before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Pre-Test: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18 respuestas correctas de 20 preguntas planteadas (90% de cumplimiento).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13"/>
              </w:numPr>
              <w:spacing w:after="24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Resultados del Post-Test: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20 respuestas correctas de 20 preguntas planteadas (100% de cumplimiento).</w:t>
            </w:r>
          </w:p>
          <w:p w:rsidR="00000000" w:rsidDel="00000000" w:rsidP="00000000" w:rsidRDefault="00000000" w:rsidRPr="00000000" w14:paraId="000000A3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El análisis demuestra que, inicialmente, los colaboradores tenían errores recurrentes en 2 de las 5 preguntas planteadas por persona, lo que refleja un nivel de conocimiento parcial del tema antes de la capacitación. Sin embargo, tras el proceso formativo, lograron responder correctamente el 100% de las preguntas, validando la efectividad de la capacitación.</w:t>
            </w:r>
          </w:p>
          <w:p w:rsidR="00000000" w:rsidDel="00000000" w:rsidP="00000000" w:rsidRDefault="00000000" w:rsidRPr="00000000" w14:paraId="000000A4">
            <w:pPr>
              <w:spacing w:after="240" w:before="240"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Para verificar los resultados, cada pregunta fue analizada en detalle y acompañada de gráficas comparativas entre el pre-test y el post-test. Además, durante la capacitación, se aclararon dudas y se reforzaron conceptos clave para asegurar una adecuada comprensión.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4"/>
              </w:numPr>
              <w:tabs>
                <w:tab w:val="left" w:leader="none" w:pos="2129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22"/>
                <w:szCs w:val="22"/>
                <w:rtl w:val="0"/>
              </w:rPr>
              <w:t xml:space="preserve">CIERRE.</w:t>
            </w:r>
          </w:p>
          <w:p w:rsidR="00000000" w:rsidDel="00000000" w:rsidP="00000000" w:rsidRDefault="00000000" w:rsidRPr="00000000" w14:paraId="000000A6">
            <w:pPr>
              <w:tabs>
                <w:tab w:val="left" w:leader="none" w:pos="2129"/>
              </w:tabs>
              <w:spacing w:line="276" w:lineRule="auto"/>
              <w:ind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11:30 a.m. La asesora del área de calidad agradece a los presentes por su participación en la capacitación.</w:t>
            </w:r>
          </w:p>
        </w:tc>
      </w:tr>
    </w:tbl>
    <w:p w:rsidR="00000000" w:rsidDel="00000000" w:rsidP="00000000" w:rsidRDefault="00000000" w:rsidRPr="00000000" w14:paraId="000000A7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numPr>
                <w:ilvl w:val="0"/>
                <w:numId w:val="15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0.0" w:type="dxa"/>
        <w:jc w:val="left"/>
        <w:tblInd w:w="-6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5"/>
        <w:gridCol w:w="3060"/>
        <w:gridCol w:w="2475"/>
        <w:tblGridChange w:id="0">
          <w:tblGrid>
            <w:gridCol w:w="4245"/>
            <w:gridCol w:w="3060"/>
            <w:gridCol w:w="2475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F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Carlos Javier Vizcaino Guerrero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Medico Especialista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201613</wp:posOffset>
                  </wp:positionH>
                  <wp:positionV relativeFrom="paragraph">
                    <wp:posOffset>114300</wp:posOffset>
                  </wp:positionV>
                  <wp:extent cx="923925" cy="312315"/>
                  <wp:effectExtent b="0" l="0" r="0" t="0"/>
                  <wp:wrapNone/>
                  <wp:docPr id="95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312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Melanie Veloza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Auxiliar Administrativo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115888</wp:posOffset>
                  </wp:positionH>
                  <wp:positionV relativeFrom="paragraph">
                    <wp:posOffset>114300</wp:posOffset>
                  </wp:positionV>
                  <wp:extent cx="1019175" cy="388515"/>
                  <wp:effectExtent b="0" l="0" r="0" t="0"/>
                  <wp:wrapNone/>
                  <wp:docPr id="8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8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388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Samira Navarro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Nutricionista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1438275" cy="317500"/>
                  <wp:effectExtent b="0" l="0" r="0" t="0"/>
                  <wp:docPr id="9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Dalia Martinez Cardeño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Nutricionista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1438275" cy="457200"/>
                  <wp:effectExtent b="0" l="0" r="0" t="0"/>
                  <wp:docPr id="9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2.4609375000001" w:hRule="atLeast"/>
          <w:tblHeader w:val="0"/>
        </w:trPr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Kelly Dayana Canacue</w:t>
            </w:r>
          </w:p>
        </w:tc>
        <w:tc>
          <w:tcPr>
            <w:tcBorders>
              <w:top w:color="202124" w:space="0" w:sz="6" w:val="single"/>
              <w:left w:color="202124" w:space="0" w:sz="6" w:val="single"/>
              <w:bottom w:color="202124" w:space="0" w:sz="6" w:val="single"/>
              <w:right w:color="202124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  <w:rtl w:val="0"/>
              </w:rPr>
              <w:t xml:space="preserve">Asesor de calidad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spacing w:before="120" w:lineRule="auto"/>
              <w:ind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</w:rPr>
              <w:drawing>
                <wp:inline distB="114300" distT="114300" distL="114300" distR="114300">
                  <wp:extent cx="1268413" cy="457200"/>
                  <wp:effectExtent b="0" l="0" r="0" t="0"/>
                  <wp:docPr id="10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413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widowControl w:val="0"/>
      <w:spacing w:line="276" w:lineRule="auto"/>
      <w:ind w:hanging="2"/>
      <w:rPr/>
    </w:pPr>
    <w:r w:rsidDel="00000000" w:rsidR="00000000" w:rsidRPr="00000000">
      <w:rPr>
        <w:rtl w:val="0"/>
      </w:rPr>
    </w:r>
  </w:p>
  <w:sdt>
    <w:sdtPr>
      <w:lock w:val="contentLocked"/>
      <w:id w:val="1242799766"/>
      <w:tag w:val="goog_rdk_0"/>
    </w:sdtPr>
    <w:sdtContent>
      <w:tbl>
        <w:tblPr>
          <w:tblStyle w:val="Table9"/>
          <w:tblW w:w="9750.0" w:type="dxa"/>
          <w:jc w:val="left"/>
          <w:tblInd w:w="-498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1875"/>
          <w:gridCol w:w="2130"/>
          <w:gridCol w:w="2340"/>
          <w:gridCol w:w="1425"/>
          <w:gridCol w:w="1980"/>
          <w:tblGridChange w:id="0">
            <w:tblGrid>
              <w:gridCol w:w="1875"/>
              <w:gridCol w:w="2130"/>
              <w:gridCol w:w="2340"/>
              <w:gridCol w:w="1425"/>
              <w:gridCol w:w="1980"/>
            </w:tblGrid>
          </w:tblGridChange>
        </w:tblGrid>
        <w:tr>
          <w:trPr>
            <w:cantSplit w:val="0"/>
            <w:tblHeader w:val="0"/>
          </w:trPr>
          <w:tc>
            <w:tcPr/>
            <w:p w:rsidR="00000000" w:rsidDel="00000000" w:rsidP="00000000" w:rsidRDefault="00000000" w:rsidRPr="00000000" w14:paraId="000000D5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Elaborado</w:t>
              </w:r>
            </w:p>
          </w:tc>
          <w:tc>
            <w:tcPr/>
            <w:p w:rsidR="00000000" w:rsidDel="00000000" w:rsidP="00000000" w:rsidRDefault="00000000" w:rsidRPr="00000000" w14:paraId="000000D6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Revisado</w:t>
              </w:r>
            </w:p>
          </w:tc>
          <w:tc>
            <w:tcPr/>
            <w:p w:rsidR="00000000" w:rsidDel="00000000" w:rsidP="00000000" w:rsidRDefault="00000000" w:rsidRPr="00000000" w14:paraId="000000D7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Aprobado</w:t>
              </w:r>
            </w:p>
          </w:tc>
          <w:tc>
            <w:tcPr/>
            <w:p w:rsidR="00000000" w:rsidDel="00000000" w:rsidP="00000000" w:rsidRDefault="00000000" w:rsidRPr="00000000" w14:paraId="000000D8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Actualización</w:t>
              </w:r>
            </w:p>
          </w:tc>
          <w:tc>
            <w:tcPr/>
            <w:p w:rsidR="00000000" w:rsidDel="00000000" w:rsidP="00000000" w:rsidRDefault="00000000" w:rsidRPr="00000000" w14:paraId="000000D9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01 de Enero de 2025</w:t>
              </w:r>
            </w:p>
          </w:tc>
        </w:tr>
        <w:tr>
          <w:trPr>
            <w:cantSplit w:val="0"/>
            <w:tblHeader w:val="0"/>
          </w:trPr>
          <w:tc>
            <w:tcPr>
              <w:vMerge w:val="restart"/>
            </w:tcPr>
            <w:p w:rsidR="00000000" w:rsidDel="00000000" w:rsidP="00000000" w:rsidRDefault="00000000" w:rsidRPr="00000000" w14:paraId="000000DA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Kelly Canacue</w:t>
              </w:r>
            </w:p>
            <w:p w:rsidR="00000000" w:rsidDel="00000000" w:rsidP="00000000" w:rsidRDefault="00000000" w:rsidRPr="00000000" w14:paraId="000000DB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Líder de calidad</w:t>
              </w:r>
            </w:p>
          </w:tc>
          <w:tc>
            <w:tcPr>
              <w:vMerge w:val="restart"/>
            </w:tcPr>
            <w:p w:rsidR="00000000" w:rsidDel="00000000" w:rsidP="00000000" w:rsidRDefault="00000000" w:rsidRPr="00000000" w14:paraId="000000DC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Kelly Canacue</w:t>
              </w:r>
            </w:p>
            <w:p w:rsidR="00000000" w:rsidDel="00000000" w:rsidP="00000000" w:rsidRDefault="00000000" w:rsidRPr="00000000" w14:paraId="000000DD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  <w:highlight w:val="yellow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Líder de calidad</w:t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restart"/>
            </w:tcPr>
            <w:p w:rsidR="00000000" w:rsidDel="00000000" w:rsidP="00000000" w:rsidRDefault="00000000" w:rsidRPr="00000000" w14:paraId="000000DE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  <w:highlight w:val="white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highlight w:val="white"/>
                  <w:rtl w:val="0"/>
                </w:rPr>
                <w:t xml:space="preserve">Carlos Vizcaino</w:t>
              </w:r>
            </w:p>
            <w:p w:rsidR="00000000" w:rsidDel="00000000" w:rsidP="00000000" w:rsidRDefault="00000000" w:rsidRPr="00000000" w14:paraId="000000DF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Gerente</w:t>
              </w:r>
            </w:p>
          </w:tc>
          <w:tc>
            <w:tcPr/>
            <w:p w:rsidR="00000000" w:rsidDel="00000000" w:rsidP="00000000" w:rsidRDefault="00000000" w:rsidRPr="00000000" w14:paraId="000000E0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Versión</w:t>
              </w:r>
            </w:p>
          </w:tc>
          <w:tc>
            <w:tcPr/>
            <w:p w:rsidR="00000000" w:rsidDel="00000000" w:rsidP="00000000" w:rsidRDefault="00000000" w:rsidRPr="00000000" w14:paraId="000000E1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002</w:t>
              </w:r>
            </w:p>
          </w:tc>
        </w:tr>
        <w:tr>
          <w:trPr>
            <w:cantSplit w:val="0"/>
            <w:tblHeader w:val="0"/>
          </w:trPr>
          <w:tc>
            <w:tcPr>
              <w:vMerge w:val="continue"/>
            </w:tcPr>
            <w:p w:rsidR="00000000" w:rsidDel="00000000" w:rsidP="00000000" w:rsidRDefault="00000000" w:rsidRPr="00000000" w14:paraId="000000E2">
              <w:pPr>
                <w:widowControl w:val="0"/>
                <w:spacing w:line="276" w:lineRule="auto"/>
                <w:ind w:firstLine="0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</w:tcPr>
            <w:p w:rsidR="00000000" w:rsidDel="00000000" w:rsidP="00000000" w:rsidRDefault="00000000" w:rsidRPr="00000000" w14:paraId="000000E3">
              <w:pPr>
                <w:widowControl w:val="0"/>
                <w:spacing w:line="276" w:lineRule="auto"/>
                <w:ind w:firstLine="0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</w:tcPr>
            <w:p w:rsidR="00000000" w:rsidDel="00000000" w:rsidP="00000000" w:rsidRDefault="00000000" w:rsidRPr="00000000" w14:paraId="000000E4">
              <w:pPr>
                <w:widowControl w:val="0"/>
                <w:spacing w:line="276" w:lineRule="auto"/>
                <w:ind w:firstLine="0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E5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Página</w:t>
              </w:r>
            </w:p>
          </w:tc>
          <w:tc>
            <w:tcPr/>
            <w:p w:rsidR="00000000" w:rsidDel="00000000" w:rsidP="00000000" w:rsidRDefault="00000000" w:rsidRPr="00000000" w14:paraId="000000E6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Century Gothic" w:cs="Century Gothic" w:eastAsia="Century Gothic" w:hAnsi="Century Gothic"/>
                  <w:sz w:val="16"/>
                  <w:szCs w:val="16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  <w:rtl w:val="0"/>
                </w:rPr>
                <w:t xml:space="preserve"> de </w:t>
              </w:r>
              <w:r w:rsidDel="00000000" w:rsidR="00000000" w:rsidRPr="00000000">
                <w:rPr>
                  <w:rFonts w:ascii="Century Gothic" w:cs="Century Gothic" w:eastAsia="Century Gothic" w:hAnsi="Century Gothic"/>
                  <w:sz w:val="16"/>
                  <w:szCs w:val="16"/>
                </w:rPr>
                <w:fldChar w:fldCharType="begin"/>
                <w:instrText xml:space="preserve">NUMPAGES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E7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widowControl w:val="0"/>
      <w:spacing w:line="276" w:lineRule="auto"/>
      <w:ind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B">
          <w:pPr>
            <w:tabs>
              <w:tab w:val="right" w:leader="none" w:pos="9003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114300" distT="114300" distL="114300" distR="114300">
                <wp:extent cx="1562100" cy="546100"/>
                <wp:effectExtent b="0" l="0" r="0" t="0"/>
                <wp:docPr id="10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C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CD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D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D3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7.png"/><Relationship Id="rId22" Type="http://schemas.openxmlformats.org/officeDocument/2006/relationships/image" Target="media/image2.png"/><Relationship Id="rId10" Type="http://schemas.openxmlformats.org/officeDocument/2006/relationships/image" Target="media/image13.png"/><Relationship Id="rId21" Type="http://schemas.openxmlformats.org/officeDocument/2006/relationships/image" Target="media/image1.jpg"/><Relationship Id="rId13" Type="http://schemas.openxmlformats.org/officeDocument/2006/relationships/image" Target="media/image15.png"/><Relationship Id="rId24" Type="http://schemas.openxmlformats.org/officeDocument/2006/relationships/footer" Target="footer1.xml"/><Relationship Id="rId12" Type="http://schemas.openxmlformats.org/officeDocument/2006/relationships/image" Target="media/image9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14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16.jp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dDzRgjpCfp2KyGVAMFZIM3sltA==">CgMxLjAaHwoBMBIaChgICVIUChJ0YWJsZS5lcnh1MGluenZjdDMyDmgubm9pa2s4Y3UwcXQ1Mg5oLjEyNHF2MG9mNmVndDIOaC4zeWU5enh6NGVlNG0yDmguMjZhc2RwN29kcXB4Mg5oLjd5OHk2angybXBnczINaC56OWpxODR4bjcwNDIOaC42dHU1ZzNzMmZ2M2UyDmguMWxhNmMxM3lsejBsMg5oLnh5MnM1enNoa3dmMjIOaC40YjVqN3FqZWNhdXoyDmguNnl2MzRsdm9kd3hrMg5oLjl6bjRyamxrbjBtNTIOaC4xd2N1ZjkyandjeTkyDmgudmNtMW96N242NTdlMg5oLnExeHUwN24wZndnaDIOaC5iNHB1ZXp3NG1oczQyDmguN2R5ZHhyZGc5amFmMg5oLmI4bDluM29kZWNrNzIOaC5ndGhjanA3b2xyMzQyDmguYm9saWNhczhmNjg2Mg5oLjJuMHRoaDEyd3kyMTIOaC5qZGdrdThwNG9vY24yDmgubDB1MHdnbTVienFyMg5oLnJycmtvdmZueTZ1cDIOaC52dWk2NWltY3lpMTkyDmguZ2h0ano1dnhrcmIxMg5oLjV2eDl1Ym1qY3BoczIOaC51dWRoMW45d2h2emcyDmguYnZsM2VzYXd2Yzl6Mg5oLnVxMzAxcjlqeHcycTIOaC4xbXNvdnd3NTg3NHIyDmguc2Z3MGVybzAzZ2EyMg5oLnJwZzJyc3hyMWVtbTIOaC5lN3JpMmhiNWRkZzY4AHIhMXJSakNGaTJtY0xKa012T25DWjZLREZHSjktRnVpOH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