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Times New Roman" w:cs="Times New Roman" w:eastAsia="Times New Roman" w:hAnsi="Times New Roman"/>
          <w:b/>
          <w:bCs/>
          <w:sz w:val="32"/>
          <w:szCs w:val="32"/>
        </w:rPr>
        <w:t xml:space="preserve">ESCENARIOS DE CALIDAD Y TÁCTICAS DE ARQUITECTURA</w:t>
      </w:r>
    </w:p>
    <w:p>
      <w:pPr>
        <w:spacing w:after="200"/>
        <w:jc w:val="center"/>
      </w:pPr>
      <w:r>
        <w:rPr>
          <w:rFonts w:ascii="Times New Roman" w:cs="Times New Roman" w:eastAsia="Times New Roman" w:hAnsi="Times New Roman"/>
          <w:sz w:val="28"/>
          <w:szCs w:val="28"/>
        </w:rPr>
        <w:t xml:space="preserve">Acciones El Bosque</w:t>
      </w:r>
    </w:p>
    <w:p>
      <w:pPr>
        <w:spacing w:after="120"/>
        <w:jc w:val="center"/>
      </w:pPr>
      <w:r>
        <w:rPr>
          <w:rFonts w:ascii="Times New Roman" w:cs="Times New Roman" w:eastAsia="Times New Roman" w:hAnsi="Times New Roman"/>
          <w:sz w:val="24"/>
          <w:szCs w:val="24"/>
        </w:rPr>
        <w:t xml:space="preserve">Ingeniería de Software II — 6° Semestre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1. Introducción</w:t>
      </w:r>
    </w:p>
    <w:p>
      <w:pPr>
        <w:spacing w:after="160"/>
        <w:jc w:val="both"/>
      </w:pPr>
      <w:r>
        <w:rPr>
          <w:rFonts w:ascii="Times New Roman" w:cs="Times New Roman" w:eastAsia="Times New Roman" w:hAnsi="Times New Roman"/>
          <w:sz w:val="24"/>
          <w:szCs w:val="24"/>
        </w:rPr>
        <w:t xml:space="preserve">En este documento se presentan los atributos de calidad que identificamos para el proyecto Acciones El Bosque, junto con los escenarios de calidad correspondientes y las tácticas de arquitectura que propusimos para cumplirlos. Para definir los atributos, los escenarios y las tácticas nos basamos en el libro Software Architecture in Practice de Bass, Clements y Kazman (2021). En esta entrega trabajamos con los atributos de disponibilidad, rendimiento y modificabilidad.</w:t>
      </w:r>
    </w:p>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2. Atributos de Calidad Identificados</w:t>
      </w:r>
    </w:p>
    <w:p>
      <w:pPr>
        <w:spacing w:after="160"/>
        <w:jc w:val="both"/>
      </w:pPr>
      <w:r>
        <w:rPr>
          <w:rFonts w:ascii="Times New Roman" w:cs="Times New Roman" w:eastAsia="Times New Roman" w:hAnsi="Times New Roman"/>
          <w:sz w:val="24"/>
          <w:szCs w:val="24"/>
        </w:rPr>
        <w:t xml:space="preserve">A continuación se describen los tres atributos de calidad trabajados en este documento:</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ID</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Atributo de Calidad</w:t>
            </w:r>
          </w:p>
        </w:tc>
        <w:tc>
          <w:tcPr>
            <w:tcW w:type="dxa" w:w="6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Descripción</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QA-01</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Disponibilidad</w:t>
            </w:r>
          </w:p>
        </w:tc>
        <w:tc>
          <w:tcPr>
            <w:tcW w:type="dxa" w:w="6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El sistema tiene que mantenerse disponible durante los horarios en que los mercados están abiertos y permitir encolar órdenes cuando están cerrados, con al menos un 99% de disponibilidad.</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QA-02</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Rendimiento</w:t>
            </w:r>
          </w:p>
        </w:tc>
        <w:tc>
          <w:tcPr>
            <w:tcW w:type="dxa" w:w="6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El sistema tiene que responder en menos de 2 segundos incluso cuando hay 1500 usuarios conectados al mismo tiempo.</w:t>
            </w:r>
          </w:p>
        </w:tc>
      </w:tr>
      <w:tr>
        <w:tc>
          <w:tcPr>
            <w:tcW w:type="dxa" w:w="9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QA-03</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Modificabilidad</w:t>
            </w:r>
          </w:p>
        </w:tc>
        <w:tc>
          <w:tcPr>
            <w:tcW w:type="dxa" w:w="64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El sistema tiene que permitir hacer cambios en la configuración, como horarios de apertura de bolsas, sin afectar los demás módulos y con el menor esfuerzo posible.</w:t>
            </w:r>
          </w:p>
        </w:tc>
      </w:tr>
    </w:tbl>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3. Escenarios de Calidad</w:t>
      </w:r>
    </w:p>
    <w:p>
      <w:pPr>
        <w:pStyle w:val="Heading2"/>
        <w:spacing w:after="120" w:before="200"/>
      </w:pPr>
      <w:r>
        <w:rPr>
          <w:rFonts w:ascii="Times New Roman" w:cs="Times New Roman" w:eastAsia="Times New Roman" w:hAnsi="Times New Roman"/>
          <w:b/>
          <w:bCs/>
          <w:color w:val="000000"/>
          <w:sz w:val="24"/>
          <w:szCs w:val="24"/>
        </w:rPr>
        <w:t xml:space="preserve">3.1 Escenario ESC-01 —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Fuente del 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Inversionista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Compra de acciones rechazada porque el servicio de órdenes superó el tiempo de espera.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Artefacto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Entorno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Funcionamiento degradado, el servicio de órdenes presenta una falla durante el horario operacional de los mercados.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sistema reintenta la operación 3 veces con intervalos de 1 min, 2 min y 3 min. Si el retry no funciona, un monitor envía un ping al endpoint del servicio; si no responde, el componente se retira y se activa el hot spare.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Medida de 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La falla queda enmascarada en menos de 10 minutos y la orden del inversionista se completa exitosamente.</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3.2 Escenario ESC-02 —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Fuente del 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Inversionista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Orden de compra que no pudo ejecutarse en la bolsa de Nueva York porque el mercado estaba cerrado.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Artefacto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Entorno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Funcionamiento normal, aproximadamente 300 usuarios conectados durante el cierre de mercados.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sistema encola la orden y la ejecuta automáticamente cuando la bolsa abre, según los horarios configurados en el sistema.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Medida de 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sistema mantiene una disponibilidad del 99% incluso en horarios no operacionales.</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3.3 Escenario ESC-03 —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Fuente del 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Administrador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Cambio en los horarios de cierre de la bolsa de Nueva York.</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Artefacto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Módulo de monitoreo de bolsa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Entorno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Pico de carga: 1500 usuarios concurrentes durante el horario operacional de todos los mercados.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sistema distribuye la carga entre los nodos disponibles y envía una notificación del cambio de horario a todos los inversionistas y comisionistas interesados en ese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Medida de 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mensaje de notificación llega en un tiempo menor o igual a 2 segundos.</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3.4 Escenario ESC-04 —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Fuente del 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Alpaca (proveedor de datos de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Datos en tiempo real sobre las acciones de Apple (AAPL).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Artefacto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datos de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Entorno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Pico de carga en la primera hora de apertura: 5000 usuarios activos, 1500 concurrentes.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sistema actualiza el dashboard en tiempo real y va guardando en un buffer los datos que no alcanza a procesar de inmediato.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Medida de 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dashboard de mercados se actualiza en un tiempo menor o igual a 2 segundos sin degradarse.</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3.5 Escenario ESC-05 — Modificabilidad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Fuente del 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Administrador del sistema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Estímulo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Necesidad de cambiar el horario de apertura de la bolsa de Nueva York en la configuración del sistema.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Artefacto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Módulo de configuración de horarios de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Entorno</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Tiempo de ejecución, sistema en producción.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administrador actualiza los horarios desde el panel de configuración sin tocar código ni reiniciar otros servicios. El cambio se propaga automáticamente a los módulos que dependen de esa información.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Medida de Respuesta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cambio se hace en menos de 5 minutos sin que se vean afectados otros módulos del sistema.</w:t>
            </w:r>
          </w:p>
        </w:tc>
      </w:tr>
    </w:tbl>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4. Tácticas de Arquitectura</w:t>
      </w:r>
    </w:p>
    <w:p>
      <w:pPr>
        <w:pStyle w:val="Heading2"/>
        <w:spacing w:after="120" w:before="200"/>
      </w:pPr>
      <w:r>
        <w:rPr>
          <w:rFonts w:ascii="Times New Roman" w:cs="Times New Roman" w:eastAsia="Times New Roman" w:hAnsi="Times New Roman"/>
          <w:b/>
          <w:bCs/>
          <w:color w:val="000000"/>
          <w:sz w:val="24"/>
          <w:szCs w:val="24"/>
        </w:rPr>
        <w:t xml:space="preserve">4.1 Táctica TAC-01 —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Retry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Disponibilidad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Cuando el servicio de órdenes falla, el sistema reintenta la operación hasta 3 veces con intervalos de 1 min, 2 min y 3 min entre cada intento.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Módulo de trading</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Implementar un mecanismo de retry sobre el 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APIs como Alpaca tienen un uptime del 99.96% según status.alpaca.markets, o sea que la mayoría de los fallos son transitorios y se pueden recuperar reintentando la operación.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tiempo que tarda el usuario en completar una operación aumenta durante la recuperación, lo que puede afectar la experiencia de uso, aunque no es un problema de la interfaz sino de una falla externa.</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4.2 Táctica TAC-02 — Ping/Echo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Ping/Echo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Disponibilidad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Cuando el retry no fue suficiente, un monitor envía un ping al endpoint del servicio de órdenes para confirmar si el componente está activo o si la falla es real.</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Agregar un endpoint de ping/echo en el 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Antes de activar el hot spare es necesario confirmar que el componente propio es el que falló y no un servicio externo. El ping/echo permite tomar esa decisión con certeza.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Hay que esperar el timeout del ping antes de poder enmascarar la falla, lo que alarga un poco el tiempo de recuperación.</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4.3 Táctica TAC-03 — Redundancia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Redundancia Activa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Disponibilidad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Una vez que el ping/echo confirma que el servicio de órdenes está caído, se retira esa instancia y se activa el hot spare que corría en paralelo en un nodo diferente.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Mantener siempre una instancia activa del servicio de órdenes en un nodo y zona de red distinta, sincronizada con el principal a través del endpoint /spareupdate.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Como ya tenemos certeza de la falla gracias al ping/echo, podemos levantar la instancia de respaldo rápidamente para minimizar el tiempo sin servicio.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Mantener dos nodos del mismo componente corriendo en paralelo aumenta los costos de infraestructura.</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4.4 Táctica TAC-04 —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Caching</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Rendimiento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ESC-03, ESC-04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Los datos que se consultan con mayor frecuencia se almacenan en caché para poder responder más rápido sin ir a la base de datos principal cada vez.</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Usar Redis como base de datos NoSQL de caching para los datos de mercado más consultados.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Para que el dashboard se actualice en menos de 2 segundos con 1500 usuarios concurrentes, no se puede hacer consultas directas a la base de datos en cada solicitud.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Hay que mantener una base de datos adicional solo para datos de acceso frecuente, lo que incrementa los costos operativos.</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4.5 Táctica TAC-05 — Introducir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Introducir concurrencia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Rendimiento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ESC-04</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 procesan en paralelo y de forma no bloqueante las tareas de validación y ejecución de órdenes de mercado.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Servicio de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Usar procesamiento multihilo para todas las tareas relacionadas con validar y completar órdenes.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Con 1500 usuarios haciendo operaciones al mismo tiempo, procesar las órdenes de manera secuencial haría imposible mantener tiempos de respuesta menores a 2 segundos.</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El uso de CPU y memoria de la máquina aumenta bastante bajo carga alta.</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4.6 Táctica TAC-06 — Defer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Defer Binding</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Modificabilidad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Los horarios de apertura y cierre de los mercados se manejan como parámetros de configuración externos al código, para que puedan cambiar sin necesidad de redesplegar la aplicación.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Módulo de configuración, Servicio de Órdenes, Módulo de monitoreo de bolsa</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Guardar los horarios de mercado en una tabla de configuración en base de datos, accesible desde un panel de administración, y que los módulos lean esa configuración en tiempo de ejecución.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Según Bass et al. (2021), diferir el binding de parámetros al tiempo de ejecución permite hacer cambios sin tocar el código fuente, lo que reduce el costo y el riesgo de cada modificación.</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Hay que implementar un mecanismo de recarga de configuración en los servicios dependientes, lo que añade algo de complejidad.</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4.7 Táctica TAC-07 — Encapsulate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Nombre de la Táctica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Encapsulate</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Atributo de Calidad</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Modificabilidad</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Escenario(s) Asociado(s)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ESC-05</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Descripción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La lógica relacionada con los horarios de mercado se encapsula dentro de un único módulo para que los demás servicios no dependan directamente de esa lógica, sino de una interfaz.</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Componente(s) Afectado(s)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Módulo de configuración, Módulo de trading, Módulo de monitoreo</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Decisión Arquitectónica</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Crear un servicio dedicado que exponga los horarios de mercado vigentes y que los demás módulos consulten únicamente a través de esa interfaz.</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Justificación</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Si los cambios en los horarios de mercado están aislados en un solo lugar, cuando haya que modificarlos solo se cambia ese módulo y no múltiples partes del sistema, reduciendo el ripple effect que menciona Bass et al. (2021).</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bCs/>
                <w:sz w:val="24"/>
                <w:szCs w:val="24"/>
              </w:rPr>
              <w:t xml:space="preserve">Trade-offs / Consecuencias</w:t>
            </w:r>
          </w:p>
        </w:tc>
        <w:tc>
          <w:tcPr>
            <w:tcW w:type="dxa" w:w="6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top"/>
          </w:tcPr>
          <w:p>
            <w:r>
              <w:rPr>
                <w:rFonts w:ascii="Times New Roman" w:cs="Times New Roman" w:eastAsia="Times New Roman" w:hAnsi="Times New Roman"/>
                <w:b w:val="false"/>
                <w:bCs w:val="false"/>
                <w:sz w:val="24"/>
                <w:szCs w:val="24"/>
              </w:rPr>
              <w:t xml:space="preserve">Se agrega una capa de indirección que puede hacer el código un poco más difícil de seguir al principio, pero simplifica bastante el mantenimiento.</w:t>
            </w:r>
          </w:p>
        </w:tc>
      </w:tr>
    </w:tbl>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5. Justificación de la Arquitectura por Capas</w:t>
      </w:r>
    </w:p>
    <w:p>
      <w:pPr>
        <w:spacing w:after="160"/>
        <w:jc w:val="both"/>
      </w:pPr>
      <w:r>
        <w:rPr>
          <w:rFonts w:ascii="Times New Roman" w:cs="Times New Roman" w:eastAsia="Times New Roman" w:hAnsi="Times New Roman"/>
          <w:sz w:val="24"/>
          <w:szCs w:val="24"/>
        </w:rPr>
        <w:t xml:space="preserve">Para el proyecto Acciones El Bosque decidimos usar una arquitectura por capas. Esta decisión no la tomamos de forma arbitraria sino que tiene una relación directa con los atributos de calidad que identificamos y con las tácticas que propusimos para cumplirlos.</w:t>
      </w:r>
    </w:p>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5.1 Descripción de la arquitectura</w:t>
      </w:r>
    </w:p>
    <w:p>
      <w:pPr>
        <w:spacing w:after="160"/>
        <w:jc w:val="both"/>
      </w:pPr>
      <w:r>
        <w:rPr>
          <w:rFonts w:ascii="Times New Roman" w:cs="Times New Roman" w:eastAsia="Times New Roman" w:hAnsi="Times New Roman"/>
          <w:sz w:val="24"/>
          <w:szCs w:val="24"/>
        </w:rPr>
        <w:t xml:space="preserve">La arquitectura por capas organiza el sistema en niveles jerárquicos donde cada capa solo puede comunicarse con la capa inmediatamente inferior o superior. Para este proyecto planteamos cuatro capas principales: la capa de presentación, que es la interfaz web con la que interactúan los inversionistas y administradores; la capa de aplicación, que coordina los flujos de trabajo y las operaciones del sistema; la capa de dominio, que contiene toda la lógica de negocio relacionada con las órdenes, los mercados y las reglas financieras; y la capa de infraestructura, que se encarga del acceso a bases de datos, la integración con servicios externos como Alpaca y la gestión de la caché con Redis.</w:t>
      </w:r>
    </w:p>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5.2 Relación con los atributos de calidad y las tácticas</w:t>
      </w:r>
    </w:p>
    <w:p>
      <w:pPr>
        <w:spacing w:after="160"/>
        <w:jc w:val="both"/>
      </w:pPr>
      <w:r>
        <w:rPr>
          <w:rFonts w:ascii="Times New Roman" w:cs="Times New Roman" w:eastAsia="Times New Roman" w:hAnsi="Times New Roman"/>
          <w:sz w:val="24"/>
          <w:szCs w:val="24"/>
        </w:rPr>
        <w:t xml:space="preserve">En cuanto a la modificabilidad, que es probablemente el atributo que más se ve favorecido por esta arquitectura, la separación en capas garantiza que un cambio en una de ellas no se propague a las demás. Por ejemplo, la táctica de Defer Binding que propusimos para ESC-05 consiste en guardar los horarios de mercado en una tabla de configuración en lugar de tenerlos en el código. Esto funciona bien dentro de una arquitectura por capas porque la lógica de negocio que depende de esos horarios está en la capa de dominio, y si cambian los horarios, solo hay que actualizar la capa de infraestructura donde vive la configuración, sin tocar la lógica. Lo mismo aplica para la táctica de Encapsulate: si la lógica de horarios está dentro de un módulo propio en la capa de dominio y los demás módulos la consultan a través de una interfaz, cualquier cambio futuro en cómo se calculan esos horarios solo afecta ese módulo y no se riega por el sistema.</w:t>
      </w:r>
    </w:p>
    <w:p>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sz w:val="24"/>
          <w:szCs w:val="24"/>
        </w:rPr>
        <w:t xml:space="preserve">Con respecto al rendimiento, la arquitectura por capas también ayuda aunque de forma indirecta. Las tácticas de caching con Redis y de concurrencia que definimos para ESC-03 y ESC-04 se implementan en capas específicas del sistema, y gracias a la separación en capas es posible escalar horizontalmente solo la capa que está siendo el cuello de botella. Si la capa de aplicación es la que no da abasto con 1500 usuarios concurrentes, se puede replicar esa capa de forma independiente sin tener que duplicar la base de datos o la capa de presentación. Además, el caching en Redis vive en la capa de infraestructura y la capa de dominio simplemente lo consulta sin necesidad de saber cómo está implementado, lo que facilita cambiar o escalar esa caché en el futuro sin modificar la lógica.</w:t>
      </w:r>
    </w:p>
    <w:p>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sz w:val="24"/>
          <w:szCs w:val="24"/>
        </w:rPr>
        <w:t xml:space="preserve">Respecto a la disponibilidad, las tácticas de Retry, Ping/Echo y Redundancia Activa que definimos para ESC-01 se ubican principalmente en la capa de aplicación, que es la que coordina las operaciones con el servicio de órdenes. Al estar esta lógica de recuperación de fallos separada de la lógica de negocio y de la presentación, es más fácil modificarla o mejorarla sin riesgo de romper otras partes del sistema. Si en el futuro quisiéramos cambiar los intervalos del retry o agregar un mecanismo de circuit breaker, el cambio estaría acotado a esa capa.</w:t>
      </w:r>
    </w:p>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5.3 Ventajas de la arquitectura por capas para este proyecto</w:t>
      </w:r>
    </w:p>
    <w:p>
      <w:pPr>
        <w:spacing w:after="160"/>
        <w:jc w:val="both"/>
      </w:pPr>
      <w:r>
        <w:rPr>
          <w:rFonts w:ascii="Times New Roman" w:cs="Times New Roman" w:eastAsia="Times New Roman" w:hAnsi="Times New Roman"/>
          <w:sz w:val="24"/>
          <w:szCs w:val="24"/>
        </w:rPr>
        <w:t xml:space="preserve">En la siguiente tabla se resumen las principales ventajas que identificamos para justificar esta decisión arquitectónica:</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Ventaja</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Descripción</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Separación de responsabilidades</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Cada capa tiene una responsabilidad bien definida. La capa de presentación solo se ocupa de la interfaz, la de negocio solo de la lógica, y la de datos solo del acceso a la información. Esto hace que el sistema sea más fácil de entender y mantener.</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Bajo acoplamiento entre capas</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Los cambios en una capa no afectan directamente a las otras, siempre que se respete la interfaz entre ellas. Esto reduce el ripple effect y permite modificar partes del sistema de forma independiente.</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Facilidad para hacer pruebas</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Al estar separada la lógica de negocio de la presentación y de los datos, se puede probar cada capa de forma independiente con pruebas unitarias, lo que reduce los errores al hacer cambios.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Reutilización de la capa de negocio</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La lógica de negocio puede ser consumida por distintos clientes, por ejemplo una aplicación web y una API móvil, sin tener que duplicar código.</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Escalabilidad por capa</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Si una capa se convierte en el cuello de botella del sistema, se puede escalar horizontalmente de forma independiente sin necesidad de replicar todo el sistema.</w:t>
            </w:r>
          </w:p>
        </w:tc>
      </w:tr>
    </w:tbl>
    <w:p>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color w:val="000000"/>
          <w:sz w:val="24"/>
          <w:szCs w:val="24"/>
        </w:rPr>
        <w:t xml:space="preserve">5.4 Consideraciones</w:t>
      </w:r>
    </w:p>
    <w:p>
      <w:pPr>
        <w:spacing w:after="160"/>
        <w:jc w:val="both"/>
      </w:pPr>
      <w:r>
        <w:rPr>
          <w:rFonts w:ascii="Times New Roman" w:cs="Times New Roman" w:eastAsia="Times New Roman" w:hAnsi="Times New Roman"/>
          <w:sz w:val="24"/>
          <w:szCs w:val="24"/>
        </w:rPr>
        <w:t xml:space="preserve">Es importante aclarar que la elección de la arquitectura por capas sobre otras opciones como microservicios no se basa en que sea más rápida, porque no lo es. Los microservicios tienen ventajas de escalabilidad independiente por servicio que una arquitectura por capas no ofrece de la misma forma. La razón principal por la que escogimos esta arquitectura es que es considerablemente más sencilla de implementar para un equipo pequeño y en una etapa inicial del proyecto. Además, el costo de despliegue es mucho menor, ya que no se necesita infraestructura de orquestación de contenedores ni gestión de múltiples servicios desplegados de forma independiente. Para el alcance actual del proyecto, montar toda esa infraestructura sería un overhead que no se justifica.</w:t>
      </w:r>
    </w:p>
    <w:p>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color w:val="000000"/>
          <w:sz w:val="28"/>
          <w:szCs w:val="28"/>
        </w:rPr>
        <w:t xml:space="preserve">6. Referencias</w:t>
      </w:r>
    </w:p>
    <w:p>
      <w:pPr>
        <w:spacing w:after="160"/>
        <w:jc w:val="both"/>
      </w:pPr>
      <w:r>
        <w:rPr>
          <w:rFonts w:ascii="Times New Roman" w:cs="Times New Roman" w:eastAsia="Times New Roman" w:hAnsi="Times New Roman"/>
          <w:sz w:val="24"/>
          <w:szCs w:val="24"/>
        </w:rPr>
        <w:t xml:space="preserve">Bass, L., Clements, P., &amp; Kazman, R. (2021). Software Architecture in Practice (4th ed.). Addison-Wesley.</w:t>
      </w:r>
    </w:p>
    <w:p>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2026-05-28T19:24:17.696Z</dcterms:created>
  <dcterms:modified xsi:type="dcterms:W3CDTF">2026-05-28T19:24:17.697Z</dcterms:modified>
</cp:coreProperties>
</file>

<file path=docProps/custom.xml><?xml version="1.0" encoding="utf-8"?>
<Properties xmlns="http://schemas.openxmlformats.org/officeDocument/2006/custom-properties" xmlns:vt="http://schemas.openxmlformats.org/officeDocument/2006/docPropsVTypes"/>
</file>