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8C1D40"/>
          <w:sz w:val="26"/>
        </w:rPr>
        <w:t>UNIVERSIDAD SANTIAGO DE CALI</w:t>
        <w:br/>
        <w:t>FACULTAD DE INGENIERÍA</w:t>
        <w:br/>
      </w:r>
      <w:r>
        <w:rPr>
          <w:rFonts w:ascii="Calibri" w:hAnsi="Calibri"/>
          <w:b/>
          <w:color w:val="102C57"/>
          <w:sz w:val="30"/>
        </w:rPr>
        <w:t>INFORME EJECUTIVO: LINEAMIENTOS PARA EL USO RESPONSABLE DE LA INTELIGENCIA ARTIFICIAL EN LA USC</w:t>
        <w:br/>
      </w:r>
      <w:r>
        <w:rPr>
          <w:rFonts w:ascii="Calibri" w:hAnsi="Calibri"/>
          <w:i/>
          <w:color w:val="646464"/>
          <w:sz w:val="22"/>
        </w:rPr>
        <w:t>Con Declaración Institucional de Transparencia y Registro de Prompts del Proyecto PETI</w:t>
        <w:br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2F4F7"/>
          </w:tcPr>
          <w:p>
            <w:r>
              <w:rPr>
                <w:b/>
                <w:sz w:val="19"/>
              </w:rPr>
              <w:t>Referencia Normativa: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Circular Normativa DGI No. 001 (4 de agosto de 2025) - Dirección General de Investigaciones</w:t>
            </w:r>
          </w:p>
        </w:tc>
      </w:tr>
      <w:tr>
        <w:tc>
          <w:tcPr>
            <w:tcW w:type="dxa" w:w="3168"/>
            <w:shd w:fill="F2F4F7"/>
          </w:tcPr>
          <w:p>
            <w:r>
              <w:rPr>
                <w:b/>
                <w:sz w:val="19"/>
              </w:rPr>
              <w:t>Destinatarios: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Comunidad Universitaria (Estudiantes, Docentes, Personal Administrativo e Investigadores)</w:t>
            </w:r>
          </w:p>
        </w:tc>
      </w:tr>
      <w:tr>
        <w:tc>
          <w:tcPr>
            <w:tcW w:type="dxa" w:w="3168"/>
            <w:shd w:fill="F2F4F7"/>
          </w:tcPr>
          <w:p>
            <w:r>
              <w:rPr>
                <w:b/>
                <w:sz w:val="19"/>
              </w:rPr>
              <w:t>Asignatura / Evaluación: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Gobierno y Servicios de TI — Primer Parcial (Entregable 3)</w:t>
            </w:r>
          </w:p>
        </w:tc>
      </w:tr>
      <w:tr>
        <w:tc>
          <w:tcPr>
            <w:tcW w:type="dxa" w:w="3168"/>
            <w:shd w:fill="F2F4F7"/>
          </w:tcPr>
          <w:p>
            <w:r>
              <w:rPr>
                <w:b/>
                <w:sz w:val="19"/>
              </w:rPr>
              <w:t>Fecha de Emisión: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Septiembre de 2026</w:t>
            </w:r>
          </w:p>
        </w:tc>
      </w:tr>
    </w:tbl>
    <w:p/>
    <w:p>
      <w:pPr>
        <w:pBdr>
          <w:bottom w:val="single" w:sz="8" w:space="4" w:color="8C1D40"/>
        </w:pBdr>
      </w:pPr>
      <w:r>
        <w:rPr>
          <w:rFonts w:ascii="Calibri" w:hAnsi="Calibri"/>
          <w:b/>
          <w:color w:val="102C57"/>
          <w:sz w:val="26"/>
        </w:rPr>
        <w:t>1. Resumen Ejecutivo</w:t>
      </w:r>
    </w:p>
    <w:p>
      <w:pPr>
        <w:spacing w:line="276" w:lineRule="auto"/>
      </w:pPr>
      <w:r>
        <w:t>El presente informe ejecutivo tiene como propósito socializar, analizar y estructurar de manera operativa las directrices adoptadas por la Universidad Santiago de Cali (USC) a través de la Circular Normativa DGI No. 001 del 4 de agosto de 2025, emitida por la Dirección General de Investigaciones y avalada por el Comité de Ética institucional.</w:t>
      </w:r>
    </w:p>
    <w:p>
      <w:pPr>
        <w:spacing w:line="276" w:lineRule="auto"/>
      </w:pPr>
      <w:r>
        <w:t>Ante la disrupción acelerada de las tecnologías cognitivas y los modelos de IA Generativa, la USC establece un marco de gobernanza que busca maximizar las oportunidades formativas de la IA salvaguardando la integridad académica, la ética y la protección de datos personales. En estricto cumplimiento del Artículo 3, numeral 6 de las Directrices para Estudiantes y del numeral 5 de Docentes (deber de transparencia y declaración de comandos), este informe incorpora en su sección final el registro sistemático de prompts, comandos y validaciones humanas aplicadas en el proyecto PETI de Perficient.</w:t>
      </w:r>
    </w:p>
    <w:p>
      <w:pPr>
        <w:pBdr>
          <w:bottom w:val="single" w:sz="8" w:space="4" w:color="8C1D40"/>
        </w:pBdr>
      </w:pPr>
      <w:r>
        <w:rPr>
          <w:rFonts w:ascii="Calibri" w:hAnsi="Calibri"/>
          <w:b/>
          <w:color w:val="102C57"/>
          <w:sz w:val="26"/>
        </w:rPr>
        <w:t>2. Contexto Estratégico y Marco de Política Pública</w:t>
      </w:r>
    </w:p>
    <w:p>
      <w:pPr>
        <w:spacing w:line="276" w:lineRule="auto"/>
      </w:pPr>
      <w:r>
        <w:t>La regulación de la IA en la USC se articula armónicamente con marcos de política pública de vanguardia:</w:t>
      </w:r>
    </w:p>
    <w:p>
      <w:pPr>
        <w:pStyle w:val="ListBullet"/>
        <w:spacing w:line="276" w:lineRule="auto"/>
      </w:pPr>
      <w:r>
        <w:rPr>
          <w:b/>
        </w:rPr>
        <w:t xml:space="preserve">Nivel Global (AI Act de la UE 2023-2024): </w:t>
      </w:r>
      <w:r>
        <w:t>Clasificación basada en riesgo, supervisión humana, transparencia y prevención de sesgos algorítmicos.</w:t>
      </w:r>
    </w:p>
    <w:p>
      <w:pPr>
        <w:pStyle w:val="ListBullet"/>
        <w:spacing w:line="276" w:lineRule="auto"/>
      </w:pPr>
      <w:r>
        <w:rPr>
          <w:b/>
        </w:rPr>
        <w:t xml:space="preserve">Nivel Nacional (CONPES 4144 de Febrero de 2025): </w:t>
      </w:r>
      <w:r>
        <w:t>Política Nacional de Inteligencia Artificial de Colombia y la Hoja de Ruta de MinCiencias (2024).</w:t>
      </w:r>
    </w:p>
    <w:p>
      <w:pPr>
        <w:pStyle w:val="ListBullet"/>
        <w:spacing w:line="276" w:lineRule="auto"/>
      </w:pPr>
      <w:r>
        <w:rPr>
          <w:b/>
        </w:rPr>
        <w:t xml:space="preserve">Leyes Colombianas de Protección de Datos: </w:t>
      </w:r>
      <w:r>
        <w:t>Ley 1581 de 2012 (Habeas Data) y Ley 1273 de 2009 (Protección de la Información y Ciberseguridad).</w:t>
      </w:r>
    </w:p>
    <w:p>
      <w:pPr>
        <w:pStyle w:val="ListBullet"/>
        <w:spacing w:line="276" w:lineRule="auto"/>
      </w:pPr>
      <w:r>
        <w:rPr>
          <w:b/>
        </w:rPr>
        <w:t xml:space="preserve">Nivel Institucional USC: </w:t>
      </w:r>
      <w:r>
        <w:t>Circular Normativa DGI No. 001 (4 de agosto de 2025) que rige para todas las sedes y seccionales.</w:t>
      </w:r>
    </w:p>
    <w:p>
      <w:pPr>
        <w:pBdr>
          <w:bottom w:val="single" w:sz="8" w:space="4" w:color="8C1D40"/>
        </w:pBdr>
      </w:pPr>
      <w:r>
        <w:rPr>
          <w:rFonts w:ascii="Calibri" w:hAnsi="Calibri"/>
          <w:b/>
          <w:color w:val="102C57"/>
          <w:sz w:val="26"/>
        </w:rPr>
        <w:t>3. Ámbitos de Impacto Institucional de la IA en la USC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9"/>
              </w:rPr>
              <w:t>Ámbito Institucional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9"/>
              </w:rPr>
              <w:t>Aplicaciones de la IA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9"/>
              </w:rPr>
              <w:t>Beneficios Esperados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9"/>
              </w:rPr>
              <w:t>Riesgos Mitigados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Académico (Enseñanza-Aprendizaje)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Tutorías personalizadas, simulación interactiva, diseño de contenidos y ejercicios.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Aprendizaje adaptativo, motivación y retroalimentación formativa.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Pereza cognitiva, dependencia algorítmica y pérdida de juicio crítico.</w:t>
            </w:r>
          </w:p>
        </w:tc>
      </w:tr>
      <w:tr>
        <w:tc>
          <w:tcPr>
            <w:tcW w:type="dxa" w:w="2340"/>
            <w:shd w:fill="F7F9FB"/>
          </w:tcPr>
          <w:p>
            <w:r>
              <w:rPr>
                <w:sz w:val="17"/>
              </w:rPr>
              <w:t>Investigación (I+D+i y Posgrados)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7"/>
              </w:rPr>
              <w:t>Minería de literatura, procesamiento Big Data, modelado predictivo, Turnitin.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7"/>
              </w:rPr>
              <w:t>Aceleración experimental, gestión bibliográfica eficiente y rigor científico.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7"/>
              </w:rPr>
              <w:t>Alucinaciones, plagio no intencionado, sesgos y violación de propiedad intelectual.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Administrativo (Gestión y Servicios)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Digitalización de trámites, chatbots de atención, analítica de deserción estudiantil.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Reducción de tiempos, descongestión operativa y atención 24/7.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Fuga de datos personales sensibles y despersonalización del servicio.</w:t>
            </w:r>
          </w:p>
        </w:tc>
      </w:tr>
    </w:tbl>
    <w:p/>
    <w:p>
      <w:pPr>
        <w:pBdr>
          <w:bottom w:val="single" w:sz="8" w:space="4" w:color="8C1D40"/>
        </w:pBdr>
      </w:pPr>
      <w:r>
        <w:rPr>
          <w:rFonts w:ascii="Calibri" w:hAnsi="Calibri"/>
          <w:b/>
          <w:color w:val="102C57"/>
          <w:sz w:val="26"/>
        </w:rPr>
        <w:t>4. Directrices Específicas por Estamento Universitario</w:t>
      </w:r>
    </w:p>
    <w:p>
      <w:r>
        <w:rPr>
          <w:b/>
          <w:color w:val="8C1D40"/>
          <w:sz w:val="22"/>
        </w:rPr>
        <w:t>A. Directrices para Estudiantes (10 Mandatos Clave)</w:t>
      </w:r>
    </w:p>
    <w:p>
      <w:pPr>
        <w:pStyle w:val="ListBullet"/>
        <w:spacing w:line="276" w:lineRule="auto"/>
      </w:pPr>
      <w:r>
        <w:rPr>
          <w:b/>
        </w:rPr>
        <w:t xml:space="preserve">1. Exploración con sentido crítico: </w:t>
      </w:r>
      <w:r>
        <w:t>Investigar cómo la IA impacta su disciplina académica con actitud analítica.</w:t>
      </w:r>
    </w:p>
    <w:p>
      <w:pPr>
        <w:pStyle w:val="ListBullet"/>
        <w:spacing w:line="276" w:lineRule="auto"/>
      </w:pPr>
      <w:r>
        <w:rPr>
          <w:b/>
        </w:rPr>
        <w:t xml:space="preserve">2. Comprensión técnica: </w:t>
      </w:r>
      <w:r>
        <w:t>Entender el funcionamiento básico y los límites operativos de las herramientas utilizadas.</w:t>
      </w:r>
    </w:p>
    <w:p>
      <w:pPr>
        <w:pStyle w:val="ListBullet"/>
        <w:spacing w:line="276" w:lineRule="auto"/>
      </w:pPr>
      <w:r>
        <w:rPr>
          <w:b/>
        </w:rPr>
        <w:t xml:space="preserve">3. Uso consciente y moderado: </w:t>
      </w:r>
      <w:r>
        <w:t>La IA es un complemento; se prohíbe generar dependencia que anule el esfuerzo cognitivo propio.</w:t>
      </w:r>
    </w:p>
    <w:p>
      <w:pPr>
        <w:pStyle w:val="ListBullet"/>
        <w:spacing w:line="276" w:lineRule="auto"/>
      </w:pPr>
      <w:r>
        <w:rPr>
          <w:b/>
        </w:rPr>
        <w:t xml:space="preserve">4. Optimización legítima: </w:t>
      </w:r>
      <w:r>
        <w:t>Permitido para lluvia de ideas, automatización de tareas operativas y organización de información.</w:t>
      </w:r>
    </w:p>
    <w:p>
      <w:pPr>
        <w:pStyle w:val="ListBullet"/>
        <w:spacing w:line="276" w:lineRule="auto"/>
      </w:pPr>
      <w:r>
        <w:rPr>
          <w:b/>
        </w:rPr>
        <w:t xml:space="preserve">5. Verificación de limitaciones: </w:t>
      </w:r>
      <w:r>
        <w:t>Asumir que la IA comete errores y alucina; verificar obligatoriamente con fuentes confiables.</w:t>
      </w:r>
    </w:p>
    <w:p>
      <w:pPr>
        <w:pStyle w:val="ListBullet"/>
        <w:spacing w:line="276" w:lineRule="auto"/>
      </w:pPr>
      <w:r>
        <w:rPr>
          <w:b/>
        </w:rPr>
        <w:t xml:space="preserve">6. Máxima transparencia: </w:t>
      </w:r>
      <w:r>
        <w:t>Declarar explícitamente en cada entrega qué herramienta se empleó, para qué y los prompts suministrados.</w:t>
      </w:r>
    </w:p>
    <w:p>
      <w:pPr>
        <w:pStyle w:val="ListBullet"/>
        <w:spacing w:line="276" w:lineRule="auto"/>
      </w:pPr>
      <w:r>
        <w:rPr>
          <w:b/>
        </w:rPr>
        <w:t xml:space="preserve">7. Integridad y prevención del plagio: </w:t>
      </w:r>
      <w:r>
        <w:t>Presentar texto o código generado por IA sin la debida declaración constituye falta disciplinaria por plagio.</w:t>
      </w:r>
    </w:p>
    <w:p>
      <w:pPr>
        <w:pStyle w:val="ListBullet"/>
        <w:spacing w:line="276" w:lineRule="auto"/>
      </w:pPr>
      <w:r>
        <w:rPr>
          <w:b/>
        </w:rPr>
        <w:t xml:space="preserve">8. Responsabilidad personal: </w:t>
      </w:r>
      <w:r>
        <w:t>El estudiante es el único responsable de la veracidad de todo documento entregado bajo su nombre.</w:t>
      </w:r>
    </w:p>
    <w:p>
      <w:pPr>
        <w:pStyle w:val="ListBullet"/>
        <w:spacing w:line="276" w:lineRule="auto"/>
      </w:pPr>
      <w:r>
        <w:rPr>
          <w:b/>
        </w:rPr>
        <w:t xml:space="preserve">9. Formulación de preguntas (Prompting): </w:t>
      </w:r>
      <w:r>
        <w:t>Desarrollar destrezas para redactar indicaciones claras, precisas y rigurosas.</w:t>
      </w:r>
    </w:p>
    <w:p>
      <w:pPr>
        <w:pStyle w:val="ListBullet"/>
        <w:spacing w:line="276" w:lineRule="auto"/>
      </w:pPr>
      <w:r>
        <w:rPr>
          <w:b/>
        </w:rPr>
        <w:t xml:space="preserve">10. Asistente, nunca sustituto: </w:t>
      </w:r>
      <w:r>
        <w:t>La evaluación universitaria mide el aprendizaje humano, no la capacidad del algoritmo.</w:t>
      </w:r>
    </w:p>
    <w:p>
      <w:r>
        <w:rPr>
          <w:b/>
          <w:color w:val="8C1D40"/>
          <w:sz w:val="22"/>
        </w:rPr>
        <w:t>B. Directrices para Docentes (7 Mandatos Clave)</w:t>
      </w:r>
    </w:p>
    <w:p>
      <w:pPr>
        <w:pStyle w:val="ListBullet"/>
        <w:spacing w:line="276" w:lineRule="auto"/>
      </w:pPr>
      <w:r>
        <w:rPr>
          <w:b/>
        </w:rPr>
        <w:t xml:space="preserve">1. Cualificación permanente: </w:t>
      </w:r>
      <w:r>
        <w:t>Participar activamente en los programas de formación en IA de la universidad.</w:t>
      </w:r>
    </w:p>
    <w:p>
      <w:pPr>
        <w:pStyle w:val="ListBullet"/>
        <w:spacing w:line="276" w:lineRule="auto"/>
      </w:pPr>
      <w:r>
        <w:rPr>
          <w:b/>
        </w:rPr>
        <w:t xml:space="preserve">2. Integración pedagógica con propósito: </w:t>
      </w:r>
      <w:r>
        <w:t>Diseñar evaluaciones orientadas a la resolución de problemas y el pensamiento crítico.</w:t>
      </w:r>
    </w:p>
    <w:p>
      <w:pPr>
        <w:pStyle w:val="ListBullet"/>
        <w:spacing w:line="276" w:lineRule="auto"/>
      </w:pPr>
      <w:r>
        <w:rPr>
          <w:b/>
        </w:rPr>
        <w:t xml:space="preserve">3. Diálogo y pacto pedagógico: </w:t>
      </w:r>
      <w:r>
        <w:t>Fijar desde el inicio del período académico reglas claras sobre el uso autorizado de IA en cada actividad.</w:t>
      </w:r>
    </w:p>
    <w:p>
      <w:pPr>
        <w:pStyle w:val="ListBullet"/>
        <w:spacing w:line="276" w:lineRule="auto"/>
      </w:pPr>
      <w:r>
        <w:rPr>
          <w:b/>
        </w:rPr>
        <w:t xml:space="preserve">4. Orientación al estudiante: </w:t>
      </w:r>
      <w:r>
        <w:t>Guiar a los alumnos en prompts estructurados y contrastación de fuentes primarias.</w:t>
      </w:r>
    </w:p>
    <w:p>
      <w:pPr>
        <w:pStyle w:val="ListBullet"/>
        <w:spacing w:line="276" w:lineRule="auto"/>
      </w:pPr>
      <w:r>
        <w:rPr>
          <w:b/>
        </w:rPr>
        <w:t xml:space="preserve">5. Protocolos de transparencia: </w:t>
      </w:r>
      <w:r>
        <w:t>Exigir en las rúbricas la declaración formal de herramientas y comandos de IA usados.</w:t>
      </w:r>
    </w:p>
    <w:p>
      <w:pPr>
        <w:pStyle w:val="ListBullet"/>
        <w:spacing w:line="276" w:lineRule="auto"/>
      </w:pPr>
      <w:r>
        <w:rPr>
          <w:b/>
        </w:rPr>
        <w:t xml:space="preserve">6. Fomento del uso responsable: </w:t>
      </w:r>
      <w:r>
        <w:t>Evitar el uso indiscriminado de IA cuando no aporte valor pedagógico demostrable.</w:t>
      </w:r>
    </w:p>
    <w:p>
      <w:pPr>
        <w:pStyle w:val="ListBullet"/>
        <w:spacing w:line="276" w:lineRule="auto"/>
      </w:pPr>
      <w:r>
        <w:rPr>
          <w:b/>
        </w:rPr>
        <w:t xml:space="preserve">7. Ética y propiedad intelectual: </w:t>
      </w:r>
      <w:r>
        <w:t>Proteger la autoría de guías y producciones estudiantiles.</w:t>
      </w:r>
    </w:p>
    <w:p>
      <w:r>
        <w:rPr>
          <w:b/>
          <w:color w:val="8C1D40"/>
          <w:sz w:val="22"/>
        </w:rPr>
        <w:t>C. Directrices para el Personal Administrativo (8 Mandatos Clave)</w:t>
      </w:r>
    </w:p>
    <w:p>
      <w:pPr>
        <w:pStyle w:val="ListBullet"/>
        <w:spacing w:line="276" w:lineRule="auto"/>
      </w:pPr>
      <w:r>
        <w:rPr>
          <w:b/>
        </w:rPr>
        <w:t xml:space="preserve">1. Capacitación continua: </w:t>
      </w:r>
      <w:r>
        <w:t>Participar en programas de formación de IA orientados al servicio universitario.</w:t>
      </w:r>
    </w:p>
    <w:p>
      <w:pPr>
        <w:pStyle w:val="ListBullet"/>
        <w:spacing w:line="276" w:lineRule="auto"/>
      </w:pPr>
      <w:r>
        <w:rPr>
          <w:b/>
        </w:rPr>
        <w:t xml:space="preserve">2. Herramientas oficiales: </w:t>
      </w:r>
      <w:r>
        <w:t>Utilizar exclusivamente software y canales autorizados por la Dirección de Informática.</w:t>
      </w:r>
    </w:p>
    <w:p>
      <w:pPr>
        <w:pStyle w:val="ListBullet"/>
        <w:spacing w:line="276" w:lineRule="auto"/>
      </w:pPr>
      <w:r>
        <w:rPr>
          <w:b/>
        </w:rPr>
        <w:t xml:space="preserve">3. Optimización operativa: </w:t>
      </w:r>
      <w:r>
        <w:t>Automatizar tareas rutinarias para destinar mayor tiempo a la atención humana al usuario.</w:t>
      </w:r>
    </w:p>
    <w:p>
      <w:pPr>
        <w:pStyle w:val="ListBullet"/>
        <w:spacing w:line="276" w:lineRule="auto"/>
      </w:pPr>
      <w:r>
        <w:rPr>
          <w:b/>
        </w:rPr>
        <w:t xml:space="preserve">4. Enfoque de servicio: </w:t>
      </w:r>
      <w:r>
        <w:t>Monitorear la satisfacción de la comunidad universitaria en servicios mediados por tecnología.</w:t>
      </w:r>
    </w:p>
    <w:p>
      <w:pPr>
        <w:pStyle w:val="ListBullet"/>
        <w:spacing w:line="276" w:lineRule="auto"/>
      </w:pPr>
      <w:r>
        <w:rPr>
          <w:b/>
        </w:rPr>
        <w:t xml:space="preserve">5. Deber de notificación: </w:t>
      </w:r>
      <w:r>
        <w:t>Informar a los usuarios siempre que interactúen con agentes automatizados (chatbots).</w:t>
      </w:r>
    </w:p>
    <w:p>
      <w:pPr>
        <w:pStyle w:val="ListBullet"/>
        <w:spacing w:line="276" w:lineRule="auto"/>
      </w:pPr>
      <w:r>
        <w:rPr>
          <w:b/>
        </w:rPr>
        <w:t xml:space="preserve">6. Responsabilidad indelegable: </w:t>
      </w:r>
      <w:r>
        <w:t>Las decisiones administrativas, sancionatorias o académicas nunca se delegan a un algoritmo.</w:t>
      </w:r>
    </w:p>
    <w:p>
      <w:pPr>
        <w:pStyle w:val="ListBullet"/>
        <w:spacing w:line="276" w:lineRule="auto"/>
      </w:pPr>
      <w:r>
        <w:rPr>
          <w:b/>
        </w:rPr>
        <w:t xml:space="preserve">7. Protección de datos (Ley 1581 de 2012): </w:t>
      </w:r>
      <w:r>
        <w:t>Prohibición estricta de subir datos personales sensibles o financieros a herramientas públicas.</w:t>
      </w:r>
    </w:p>
    <w:p>
      <w:pPr>
        <w:pStyle w:val="ListBullet"/>
        <w:spacing w:line="276" w:lineRule="auto"/>
      </w:pPr>
      <w:r>
        <w:rPr>
          <w:b/>
        </w:rPr>
        <w:t xml:space="preserve">8. Ciberseguridad y accesos: </w:t>
      </w:r>
      <w:r>
        <w:t>Salvaguardar credenciales y mantener controles de acceso para prevenir fugas de información.</w:t>
      </w:r>
    </w:p>
    <w:p>
      <w:pPr>
        <w:pBdr>
          <w:bottom w:val="single" w:sz="8" w:space="4" w:color="8C1D40"/>
        </w:pBdr>
      </w:pPr>
      <w:r>
        <w:rPr>
          <w:rFonts w:ascii="Calibri" w:hAnsi="Calibri"/>
          <w:b/>
          <w:color w:val="102C57"/>
          <w:sz w:val="26"/>
        </w:rPr>
        <w:t>5. Mecanismos de Gobernanza Institucional</w:t>
      </w:r>
    </w:p>
    <w:p>
      <w:pPr>
        <w:spacing w:line="276" w:lineRule="auto"/>
      </w:pPr>
      <w:r>
        <w:t>La USC articula la Dirección General de Investigaciones (DGI), el Comité de Ética, la Vicerrectoría Académica y la Dirección de Gestión de Informática y Telemática para la vigilancia, actualización y soporte de estos lineamientos.</w:t>
      </w:r>
    </w:p>
    <w:p>
      <w:pPr>
        <w:pBdr>
          <w:bottom w:val="single" w:sz="8" w:space="4" w:color="8C1D40"/>
        </w:pBdr>
      </w:pPr>
      <w:r>
        <w:rPr>
          <w:rFonts w:ascii="Calibri" w:hAnsi="Calibri"/>
          <w:b/>
          <w:color w:val="102C57"/>
          <w:sz w:val="26"/>
        </w:rPr>
        <w:t>6. Caso Práctico: Declaración de Transparencia y Registro de Prompts del Proyecto PETI</w:t>
      </w:r>
    </w:p>
    <w:p>
      <w:pPr>
        <w:spacing w:line="276" w:lineRule="auto"/>
      </w:pPr>
      <w:r>
        <w:t>En cumplimiento del Artículo 3 (Directriz 6 Estudiantes y Directriz 5 Docentes), se presenta el registro detallado de las herramientas y comandos utilizados por los estudiantes en la construcción del PETI de Perficient Inc.:</w:t>
      </w:r>
    </w:p>
    <w:p>
      <w:pPr>
        <w:spacing w:line="276" w:lineRule="auto"/>
      </w:pPr>
      <w:r>
        <w:rPr>
          <w:b/>
        </w:rPr>
        <w:t>Ficha Técnica del Uso de IA:</w:t>
        <w:br/>
      </w:r>
      <w:r>
        <w:t>• Modelos empleados: Claude 3.5 Sonnet (Anthropic) / Gemini 3.8 (Google)</w:t>
        <w:br/>
        <w:t>• Entornos de soporte: Claude Code CLI / Antigravity IDE / Scripts Python locales</w:t>
        <w:br/>
        <w:t>• Rol de la IA: Asistente de aceleración, estructuración matricial, verificación cruzada de normas MinTIC y maquetación Word.</w:t>
        <w:br/>
        <w:t>• Supervisión humana: 100% del criterio analítico, decisiones arquitecturales, revisión de evidencias y ajuste de cronogramas.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8"/>
              </w:rPr>
              <w:t>Fase del Proyecto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8"/>
              </w:rPr>
              <w:t>Prompt / Comando Suministrado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8"/>
              </w:rPr>
              <w:t>Propósito Formativo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  <w:sz w:val="18"/>
              </w:rPr>
              <w:t>Resultado Obtenido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1. Ingesta y Contexto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"Lee y analiza toda la documentación del repositorio sobre Perficient y genera un plan referente a eso, usando toda tu potencia."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Comprensión del modelo operativo Nearshore, stack cloud y SGSI.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Resumen integral de insumos técnicos.</w:t>
            </w:r>
          </w:p>
        </w:tc>
      </w:tr>
      <w:tr>
        <w:tc>
          <w:tcPr>
            <w:tcW w:type="dxa" w:w="2340"/>
            <w:shd w:fill="F7F9FB"/>
          </w:tcPr>
          <w:p>
            <w:r>
              <w:rPr>
                <w:sz w:val="16"/>
              </w:rPr>
              <w:t>2. Arquitectura TO-BE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"Referente al último archivo de arquitectura y cronograma, genera el PETI usando como contexto los demás archivos del repositorio."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Diseñar la arquitectura empresarial en 5 capas TOGAF y fases 2026-2028.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Propuesta de arquitectura y cronograma semestral.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3. Referentes Oficiales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"Te voy a dar más contexto, meteré archivos que me dio mi profesor sobre el PETI en docs para que te contextualices más."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Incorporar referentes de MinCiencias y MinTIC provistos por el docente.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PETI v1.1 estructurado sobre el marco de referencia.</w:t>
            </w:r>
          </w:p>
        </w:tc>
      </w:tr>
      <w:tr>
        <w:tc>
          <w:tcPr>
            <w:tcW w:type="dxa" w:w="2340"/>
            <w:shd w:fill="F7F9FB"/>
          </w:tcPr>
          <w:p>
            <w:r>
              <w:rPr>
                <w:sz w:val="16"/>
              </w:rPr>
              <w:t>4. Auditoría de Norma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"Auditar conformidad frente a la Guía MinTIC MGGTI.GE.ES.01 v3.0 y la plantilla Anexo 2.docx" [Agente auditor-conformidad]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Verificar cumplimiento de los 16 numerales formales exigidos.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Detección de brechas y evolución a versión v2.1.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5. Trazabilidad Técnica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"python .claude/skills/trazabilidad-peti/scripts/verificar_trazabilidad.py"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Validar que cada brecha tenga proyectos, metas e indicadores asociados.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Verificación matemática de trazabilidad al 100%.</w:t>
            </w:r>
          </w:p>
        </w:tc>
      </w:tr>
      <w:tr>
        <w:tc>
          <w:tcPr>
            <w:tcW w:type="dxa" w:w="2340"/>
            <w:shd w:fill="F7F9FB"/>
          </w:tcPr>
          <w:p>
            <w:r>
              <w:rPr>
                <w:sz w:val="16"/>
              </w:rPr>
              <w:t>6. Maquetación Word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"python .claude/skills/guia-peti/scripts/md_a_docx.py docs/perficient_peti_v2... docs/PETI_...v2.1.docx"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Generar el entregable Word con la tipografía y tablas del MinTIC.</w:t>
            </w:r>
          </w:p>
        </w:tc>
        <w:tc>
          <w:tcPr>
            <w:tcW w:type="dxa" w:w="2340"/>
            <w:shd w:fill="F7F9FB"/>
          </w:tcPr>
          <w:p>
            <w:r>
              <w:rPr>
                <w:sz w:val="16"/>
              </w:rPr>
              <w:t>Archivo .docx oficial listo para presentación.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7. Normativa IA USC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"Busca si existe una plantilla de informe ejecutivo de lineamientos de la IA de la USC en internet y ahí genéralo."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Identificar directrices de la Circular DGI 001 y documentar el informe.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Redacción y compilación del presente Informe Ejecutivo.</w:t>
            </w:r>
          </w:p>
        </w:tc>
      </w:tr>
    </w:tbl>
    <w:p/>
    <w:p>
      <w:r>
        <w:rPr>
          <w:b/>
        </w:rPr>
        <w:t>Supervisión Humana y Corrección Crítica de Alucinaciones:</w:t>
        <w:br/>
      </w:r>
    </w:p>
    <w:p>
      <w:pPr>
        <w:pStyle w:val="ListBullet"/>
        <w:spacing w:line="276" w:lineRule="auto"/>
      </w:pPr>
      <w:r>
        <w:rPr>
          <w:b/>
        </w:rPr>
        <w:t xml:space="preserve">Corrección de Estado Corporativo (EQT): </w:t>
      </w:r>
      <w:r>
        <w:t>El modelo asumía que Perficient cotizaba en bolsa (NASDAQ/SEC); la investigación de los estudiantes constató que en octubre de 2024 fue privatizada por el fondo EQT (Form 15-12G).</w:t>
      </w:r>
    </w:p>
    <w:p>
      <w:pPr>
        <w:pStyle w:val="ListBullet"/>
        <w:spacing w:line="276" w:lineRule="auto"/>
      </w:pPr>
      <w:r>
        <w:rPr>
          <w:b/>
        </w:rPr>
        <w:t xml:space="preserve">Ajuste de Cronograma ISO 27001 a Mes 0: </w:t>
      </w:r>
      <w:r>
        <w:t>El modelo programó la renovación en la Fase 1 regular; la revisión humana identificó que vence en octubre/noviembre de 2026, obligando a adelantar la auditoría preparatoria a Mes 0.</w:t>
      </w:r>
    </w:p>
    <w:p>
      <w:pPr>
        <w:pStyle w:val="ListBullet"/>
        <w:spacing w:line="276" w:lineRule="auto"/>
      </w:pPr>
      <w:r>
        <w:rPr>
          <w:b/>
        </w:rPr>
        <w:t xml:space="preserve">Anonimización de Cuentas Cliente: </w:t>
      </w:r>
      <w:r>
        <w:t>Los estudiantes suprimieron nombres de productos específicos de clientes analizados para proteger la confidencialidad (PRV-001).</w:t>
      </w:r>
    </w:p>
    <w:p>
      <w:pPr>
        <w:shd w:fill="F2F4F7"/>
      </w:pPr>
      <w:r>
        <w:rPr>
          <w:b/>
        </w:rPr>
        <w:t>Declaración Formal de Autoría (Pacto Ético USC):</w:t>
        <w:br/>
      </w:r>
      <w:r>
        <w:t>"Los estudiantes integrantes del equipo de trabajo declaramos que el presente informe y el PETI de Perficient fueron elaborados bajo nuestra autoría intelectual y dirección técnica. Las herramientas de IA descritas fueron empleadas estrictamente como apoyo metodológico y de maquetación. Asumimos plena e indelegable responsabilidad sobre la exactitud, calidad técnica y conclusiones expuestas en este trabajo académico."</w:t>
      </w:r>
    </w:p>
    <w:p>
      <w:pPr>
        <w:pBdr>
          <w:bottom w:val="single" w:sz="8" w:space="4" w:color="8C1D40"/>
        </w:pBdr>
      </w:pPr>
      <w:r>
        <w:rPr>
          <w:rFonts w:ascii="Calibri" w:hAnsi="Calibri"/>
          <w:b/>
          <w:color w:val="102C57"/>
          <w:sz w:val="26"/>
        </w:rPr>
        <w:t>7. Conclusiones y Articulación con el PETI</w:t>
      </w:r>
    </w:p>
    <w:p>
      <w:pPr>
        <w:pStyle w:val="ListBullet"/>
        <w:spacing w:line="276" w:lineRule="auto"/>
      </w:pPr>
      <w:r>
        <w:rPr>
          <w:b/>
        </w:rPr>
        <w:t xml:space="preserve">Gobernanza en la Práctica: </w:t>
      </w:r>
      <w:r>
        <w:t>Documentar los prompts y contrastar los resultados demuestra que la gobernanza de IA es una práctica activa de responsabilidad académica y profesional.</w:t>
      </w:r>
    </w:p>
    <w:p>
      <w:pPr>
        <w:pStyle w:val="ListBullet"/>
        <w:spacing w:line="276" w:lineRule="auto"/>
      </w:pPr>
      <w:r>
        <w:rPr>
          <w:b/>
        </w:rPr>
        <w:t xml:space="preserve">Alineación con Marcos Internacionales: </w:t>
      </w:r>
      <w:r>
        <w:t>Las directrices de la Circular DGI No. 001 coinciden directamente con la norma ISO/IEC 42001 y el marco NIST AI RMF incorporados en el PETI de Perficient.</w:t>
      </w:r>
    </w:p>
    <w:p>
      <w:pPr>
        <w:pStyle w:val="ListBullet"/>
        <w:spacing w:line="276" w:lineRule="auto"/>
      </w:pPr>
      <w:r>
        <w:rPr>
          <w:b/>
        </w:rPr>
        <w:t xml:space="preserve">Formación Integral: </w:t>
      </w:r>
      <w:r>
        <w:t>El uso transparente y ético de la IA prepara a los futuros ingenieros de sistemas de la USC para liderar entornos tecnológicos complejos y regulados.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