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8C1D40"/>
          <w:sz w:val="26"/>
        </w:rPr>
        <w:t>UNIVERSIDAD SANTIAGO DE CALI</w:t>
        <w:br/>
        <w:t>FACULTAD DE INGENIERÍA</w:t>
        <w:br/>
      </w:r>
      <w:r>
        <w:rPr>
          <w:rFonts w:ascii="Calibri" w:hAnsi="Calibri"/>
          <w:b/>
          <w:color w:val="102C57"/>
          <w:sz w:val="30"/>
        </w:rPr>
        <w:t>INFORME EJECUTIVO: LINEAMIENTOS PARA EL USO RESPONSABLE DE LA INTELIGENCIA ARTIFICIAL EN LA USC</w:t>
        <w:br/>
      </w:r>
      <w:r>
        <w:rPr>
          <w:rFonts w:ascii="Calibri" w:hAnsi="Calibri"/>
          <w:i/>
          <w:color w:val="646464"/>
          <w:sz w:val="22"/>
        </w:rPr>
        <w:t>Análisis Operativo y Directrices de la Circular Normativa DGI No. 001 de 2025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Referencia Normativa: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Circular Normativa DGI No. 001 (4 de agosto de 2025) - Dirección General de Investigaciones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Destinatarios: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Comunidad Universitaria (Estudiantes, Docentes, Personal Administrativo e Investigadores)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Asignatura / Evaluación: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Gobierno y Servicios de TI — Primer Parcial (Entregable 3)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Fecha de Emisión: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Septiembre de 2026</w:t>
            </w:r>
          </w:p>
        </w:tc>
      </w:tr>
    </w:tbl>
    <w:p/>
    <w:p>
      <w:pPr>
        <w:pBdr>
          <w:bottom w:val="single" w:sz="8" w:space="4" w:color="8C1D40"/>
        </w:pBdr>
      </w:pPr>
      <w:r>
        <w:rPr>
          <w:rFonts w:ascii="Calibri" w:hAnsi="Calibri"/>
          <w:b/>
          <w:color w:val="102C57"/>
          <w:sz w:val="26"/>
        </w:rPr>
        <w:t>1. Resumen Ejecutivo</w:t>
      </w:r>
    </w:p>
    <w:p>
      <w:pPr>
        <w:spacing w:line="276" w:lineRule="auto"/>
      </w:pPr>
      <w:r>
        <w:t>El presente informe ejecutivo tiene como propósito socializar, analizar y estructurar de manera operativa las directrices adoptadas por la Universidad Santiago de Cali (USC) a través de la Circular Normativa DGI No. 001 del 4 de agosto de 2025, emitida por la Dirección General de Investigaciones y avalada por el Comité de Ética institucional.</w:t>
      </w:r>
    </w:p>
    <w:p>
      <w:pPr>
        <w:spacing w:line="276" w:lineRule="auto"/>
      </w:pPr>
      <w:r>
        <w:t>Ante la disrupción acelerada de las tecnologías cognitivas y los modelos fundacionales de Inteligencia Artificial Generativa (IA), la USC asume un liderazgo proactivo al establecer un marco de gobernanza que busca maximizar las oportunidades pedagógicas, investigativas y de eficiencia administrativa de la IA, salvaguardando la integridad académica, la ética científica, la propiedad intelectual y la protección de datos personales.</w:t>
      </w:r>
    </w:p>
    <w:p>
      <w:pPr>
        <w:pBdr>
          <w:bottom w:val="single" w:sz="8" w:space="4" w:color="8C1D40"/>
        </w:pBdr>
      </w:pPr>
      <w:r>
        <w:rPr>
          <w:rFonts w:ascii="Calibri" w:hAnsi="Calibri"/>
          <w:b/>
          <w:color w:val="102C57"/>
          <w:sz w:val="26"/>
        </w:rPr>
        <w:t>2. Contexto Estratégico y Marco de Política Pública</w:t>
      </w:r>
    </w:p>
    <w:p>
      <w:pPr>
        <w:spacing w:line="276" w:lineRule="auto"/>
      </w:pPr>
      <w:r>
        <w:t>La regulación del uso de la Inteligencia Artificial en la USC se articula armónicamente con marcos normativos de vanguardia:</w:t>
      </w:r>
    </w:p>
    <w:p>
      <w:pPr>
        <w:pStyle w:val="ListBullet"/>
        <w:spacing w:line="276" w:lineRule="auto"/>
      </w:pPr>
      <w:r>
        <w:rPr>
          <w:b/>
        </w:rPr>
        <w:t xml:space="preserve">Nivel Global (AI Act de la UE 2023-2024): </w:t>
      </w:r>
      <w:r>
        <w:t>Clasificación de IA basada en riesgos, exigencias de explicabilidad, supervisión humana y mitigación de sesgos algorítmicos.</w:t>
      </w:r>
    </w:p>
    <w:p>
      <w:pPr>
        <w:pStyle w:val="ListBullet"/>
        <w:spacing w:line="276" w:lineRule="auto"/>
      </w:pPr>
      <w:r>
        <w:rPr>
          <w:b/>
        </w:rPr>
        <w:t xml:space="preserve">Nivel Nacional (CONPES 4144 de Febrero de 2025): </w:t>
      </w:r>
      <w:r>
        <w:t>Política Nacional de Inteligencia Artificial de Colombia y la Hoja de Ruta de MinCiencias (2024), promoviendo la ética y la soberanía tecnológica.</w:t>
      </w:r>
    </w:p>
    <w:p>
      <w:pPr>
        <w:pStyle w:val="ListBullet"/>
        <w:spacing w:line="276" w:lineRule="auto"/>
      </w:pPr>
      <w:r>
        <w:rPr>
          <w:b/>
        </w:rPr>
        <w:t xml:space="preserve">Leyes Colombianas de Protección de Datos: </w:t>
      </w:r>
      <w:r>
        <w:t>Ley Estatutaria 1581 de 2012 (Habeas Data) y Ley 1273 de 2009 (Protección de la Información y Delitos Informáticos).</w:t>
      </w:r>
    </w:p>
    <w:p>
      <w:pPr>
        <w:pStyle w:val="ListBullet"/>
        <w:spacing w:line="276" w:lineRule="auto"/>
      </w:pPr>
      <w:r>
        <w:rPr>
          <w:b/>
        </w:rPr>
        <w:t xml:space="preserve">Nivel Institucional USC: </w:t>
      </w:r>
      <w:r>
        <w:t>Circular Normativa DGI No. 001 (4 de agosto de 2025), de cumplimiento obligatorio para todas las facultades, sedes y seccionales.</w:t>
      </w:r>
    </w:p>
    <w:p>
      <w:pPr>
        <w:pBdr>
          <w:bottom w:val="single" w:sz="8" w:space="4" w:color="8C1D40"/>
        </w:pBdr>
      </w:pPr>
      <w:r>
        <w:rPr>
          <w:rFonts w:ascii="Calibri" w:hAnsi="Calibri"/>
          <w:b/>
          <w:color w:val="102C57"/>
          <w:sz w:val="26"/>
        </w:rPr>
        <w:t>3. Ámbitos de Impacto Institucional de la IA en la USC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</w:tcPr>
          <w:p>
            <w:r>
              <w:rPr>
                <w:b/>
                <w:color w:val="FFFFFF"/>
                <w:sz w:val="19"/>
              </w:rPr>
              <w:t>Ámbito Institucional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  <w:sz w:val="19"/>
              </w:rPr>
              <w:t>Aplicaciones de la IA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  <w:sz w:val="19"/>
              </w:rPr>
              <w:t>Beneficios Esperados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  <w:sz w:val="19"/>
              </w:rPr>
              <w:t>Riesgos Mitigados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Académico (Enseñanza-Aprendizaje)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Tutorías personalizadas, simulación interactiva, diseño de contenidos y ejercicios.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Aprendizaje adaptativo, motivación y retroalimentación formativa en tiempo real.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Pereza cognitiva, dependencia algorítmica y pérdida de juicio crítico.</w:t>
            </w:r>
          </w:p>
        </w:tc>
      </w:tr>
      <w:tr>
        <w:tc>
          <w:tcPr>
            <w:tcW w:type="dxa" w:w="2340"/>
            <w:shd w:fill="F7F9FB"/>
          </w:tcPr>
          <w:p>
            <w:r>
              <w:rPr>
                <w:sz w:val="17"/>
              </w:rPr>
              <w:t>Investigación (I+D+i y Posgrados)</w:t>
            </w:r>
          </w:p>
        </w:tc>
        <w:tc>
          <w:tcPr>
            <w:tcW w:type="dxa" w:w="2340"/>
            <w:shd w:fill="F7F9FB"/>
          </w:tcPr>
          <w:p>
            <w:r>
              <w:rPr>
                <w:sz w:val="17"/>
              </w:rPr>
              <w:t>Minería de literatura, procesamiento Big Data, modelado predictivo, detección de similitud (Turnitin).</w:t>
            </w:r>
          </w:p>
        </w:tc>
        <w:tc>
          <w:tcPr>
            <w:tcW w:type="dxa" w:w="2340"/>
            <w:shd w:fill="F7F9FB"/>
          </w:tcPr>
          <w:p>
            <w:r>
              <w:rPr>
                <w:sz w:val="17"/>
              </w:rPr>
              <w:t>Aceleración experimental, gestión bibliográfica eficiente y rigor científico.</w:t>
            </w:r>
          </w:p>
        </w:tc>
        <w:tc>
          <w:tcPr>
            <w:tcW w:type="dxa" w:w="2340"/>
            <w:shd w:fill="F7F9FB"/>
          </w:tcPr>
          <w:p>
            <w:r>
              <w:rPr>
                <w:sz w:val="17"/>
              </w:rPr>
              <w:t>Alucinaciones, plagio no intencionado, sesgos y violación de propiedad intelectual.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Administrativo (Gestión y Servicios)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Digitalización de trámites, chatbots de atención, analítica predictiva de deserción estudiantil.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Reducción de tiempos, descongestión operativa y atención 24/7 de calidad.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Fuga de datos personales sensibles y despersonalización del servicio.</w:t>
            </w:r>
          </w:p>
        </w:tc>
      </w:tr>
    </w:tbl>
    <w:p/>
    <w:p>
      <w:pPr>
        <w:pBdr>
          <w:bottom w:val="single" w:sz="8" w:space="4" w:color="8C1D40"/>
        </w:pBdr>
      </w:pPr>
      <w:r>
        <w:rPr>
          <w:rFonts w:ascii="Calibri" w:hAnsi="Calibri"/>
          <w:b/>
          <w:color w:val="102C57"/>
          <w:sz w:val="26"/>
        </w:rPr>
        <w:t>4. Directrices Específicas por Estamento Universitario</w:t>
      </w:r>
    </w:p>
    <w:p>
      <w:r>
        <w:rPr>
          <w:b/>
          <w:color w:val="8C1D40"/>
          <w:sz w:val="22"/>
        </w:rPr>
        <w:t>A. Directrices para Estudiantes (10 Mandatos Clave)</w:t>
      </w:r>
    </w:p>
    <w:p>
      <w:pPr>
        <w:pStyle w:val="ListBullet"/>
        <w:spacing w:line="276" w:lineRule="auto"/>
      </w:pPr>
      <w:r>
        <w:rPr>
          <w:b/>
        </w:rPr>
        <w:t xml:space="preserve">1. Exploración con sentido crítico: </w:t>
      </w:r>
      <w:r>
        <w:t>Investigar cómo la IA impacta su disciplina académica y el mercado laboral con actitud analítica.</w:t>
      </w:r>
    </w:p>
    <w:p>
      <w:pPr>
        <w:pStyle w:val="ListBullet"/>
        <w:spacing w:line="276" w:lineRule="auto"/>
      </w:pPr>
      <w:r>
        <w:rPr>
          <w:b/>
        </w:rPr>
        <w:t xml:space="preserve">2. Comprensión técnica: </w:t>
      </w:r>
      <w:r>
        <w:t>Entender el funcionamiento básico y los límites operativos de las herramientas utilizadas.</w:t>
      </w:r>
    </w:p>
    <w:p>
      <w:pPr>
        <w:pStyle w:val="ListBullet"/>
        <w:spacing w:line="276" w:lineRule="auto"/>
      </w:pPr>
      <w:r>
        <w:rPr>
          <w:b/>
        </w:rPr>
        <w:t xml:space="preserve">3. Uso consciente y moderado: </w:t>
      </w:r>
      <w:r>
        <w:t>La IA es un complemento; se prohíbe generar dependencia tecnológica que anule el esfuerzo cognitivo propio.</w:t>
      </w:r>
    </w:p>
    <w:p>
      <w:pPr>
        <w:pStyle w:val="ListBullet"/>
        <w:spacing w:line="276" w:lineRule="auto"/>
      </w:pPr>
      <w:r>
        <w:rPr>
          <w:b/>
        </w:rPr>
        <w:t xml:space="preserve">4. Optimización legítima: </w:t>
      </w:r>
      <w:r>
        <w:t>Permitido para lluvia de ideas, automatización de tareas operativas y organización de información.</w:t>
      </w:r>
    </w:p>
    <w:p>
      <w:pPr>
        <w:pStyle w:val="ListBullet"/>
        <w:spacing w:line="276" w:lineRule="auto"/>
      </w:pPr>
      <w:r>
        <w:rPr>
          <w:b/>
        </w:rPr>
        <w:t xml:space="preserve">5. Verificación de limitaciones: </w:t>
      </w:r>
      <w:r>
        <w:t>Asumir que la IA comete errores y alucina; verificar obligatoriamente toda información con fuentes académicas confiables.</w:t>
      </w:r>
    </w:p>
    <w:p>
      <w:pPr>
        <w:pStyle w:val="ListBullet"/>
        <w:spacing w:line="276" w:lineRule="auto"/>
      </w:pPr>
      <w:r>
        <w:rPr>
          <w:b/>
        </w:rPr>
        <w:t xml:space="preserve">6. Máxima transparencia: </w:t>
      </w:r>
      <w:r>
        <w:t>Declarar explícitamente en cada entrega qué herramienta se empleó, para qué y los prompts suministrados.</w:t>
      </w:r>
    </w:p>
    <w:p>
      <w:pPr>
        <w:pStyle w:val="ListBullet"/>
        <w:spacing w:line="276" w:lineRule="auto"/>
      </w:pPr>
      <w:r>
        <w:rPr>
          <w:b/>
        </w:rPr>
        <w:t xml:space="preserve">7. Integridad y prevención del plagio: </w:t>
      </w:r>
      <w:r>
        <w:t>Presentar texto o código generado por IA sin la debida declaración constituye falta disciplinaria por plagio.</w:t>
      </w:r>
    </w:p>
    <w:p>
      <w:pPr>
        <w:pStyle w:val="ListBullet"/>
        <w:spacing w:line="276" w:lineRule="auto"/>
      </w:pPr>
      <w:r>
        <w:rPr>
          <w:b/>
        </w:rPr>
        <w:t xml:space="preserve">8. Responsabilidad personal: </w:t>
      </w:r>
      <w:r>
        <w:t>El estudiante es el único responsable de la veracidad y calidad de todo documento entregado bajo su nombre.</w:t>
      </w:r>
    </w:p>
    <w:p>
      <w:pPr>
        <w:pStyle w:val="ListBullet"/>
        <w:spacing w:line="276" w:lineRule="auto"/>
      </w:pPr>
      <w:r>
        <w:rPr>
          <w:b/>
        </w:rPr>
        <w:t xml:space="preserve">9. Formulación de preguntas (Prompting): </w:t>
      </w:r>
      <w:r>
        <w:t>Desarrollar destrezas para redactar indicaciones claras, precisas y rigurosas.</w:t>
      </w:r>
    </w:p>
    <w:p>
      <w:pPr>
        <w:pStyle w:val="ListBullet"/>
        <w:spacing w:line="276" w:lineRule="auto"/>
      </w:pPr>
      <w:r>
        <w:rPr>
          <w:b/>
        </w:rPr>
        <w:t xml:space="preserve">10. Asistente, nunca sustituto: </w:t>
      </w:r>
      <w:r>
        <w:t>La evaluación universitaria mide el aprendizaje del estudiante, no la capacidad del algoritmo.</w:t>
      </w:r>
    </w:p>
    <w:p>
      <w:r>
        <w:rPr>
          <w:b/>
          <w:color w:val="8C1D40"/>
          <w:sz w:val="22"/>
        </w:rPr>
        <w:t>B. Directrices para Docentes (7 Mandatos Clave)</w:t>
      </w:r>
    </w:p>
    <w:p>
      <w:pPr>
        <w:pStyle w:val="ListBullet"/>
        <w:spacing w:line="276" w:lineRule="auto"/>
      </w:pPr>
      <w:r>
        <w:rPr>
          <w:b/>
        </w:rPr>
        <w:t xml:space="preserve">1. Cualificación permanente: </w:t>
      </w:r>
      <w:r>
        <w:t>Participar activamente en los programas de formación en IA ofrecidos por la universidad.</w:t>
      </w:r>
    </w:p>
    <w:p>
      <w:pPr>
        <w:pStyle w:val="ListBullet"/>
        <w:spacing w:line="276" w:lineRule="auto"/>
      </w:pPr>
      <w:r>
        <w:rPr>
          <w:b/>
        </w:rPr>
        <w:t xml:space="preserve">2. Integración pedagógica con propósito: </w:t>
      </w:r>
      <w:r>
        <w:t>Diseñar evaluaciones orientadas a la resolución de problemas y el pensamiento crítico.</w:t>
      </w:r>
    </w:p>
    <w:p>
      <w:pPr>
        <w:pStyle w:val="ListBullet"/>
        <w:spacing w:line="276" w:lineRule="auto"/>
      </w:pPr>
      <w:r>
        <w:rPr>
          <w:b/>
        </w:rPr>
        <w:t xml:space="preserve">3. Diálogo y pacto pedagógico: </w:t>
      </w:r>
      <w:r>
        <w:t>Fijar desde el inicio del período académico reglas claras sobre el uso autorizado de IA en cada actividad.</w:t>
      </w:r>
    </w:p>
    <w:p>
      <w:pPr>
        <w:pStyle w:val="ListBullet"/>
        <w:spacing w:line="276" w:lineRule="auto"/>
      </w:pPr>
      <w:r>
        <w:rPr>
          <w:b/>
        </w:rPr>
        <w:t xml:space="preserve">4. Orientación al estudiante: </w:t>
      </w:r>
      <w:r>
        <w:t>Guiar a los alumnos en prompts estructurados y contrastación de fuentes primarias.</w:t>
      </w:r>
    </w:p>
    <w:p>
      <w:pPr>
        <w:pStyle w:val="ListBullet"/>
        <w:spacing w:line="276" w:lineRule="auto"/>
      </w:pPr>
      <w:r>
        <w:rPr>
          <w:b/>
        </w:rPr>
        <w:t xml:space="preserve">5. Protocolos de transparencia: </w:t>
      </w:r>
      <w:r>
        <w:t>Exigir en las rúbricas la declaración formal de herramientas y comandos de IA usados.</w:t>
      </w:r>
    </w:p>
    <w:p>
      <w:pPr>
        <w:pStyle w:val="ListBullet"/>
        <w:spacing w:line="276" w:lineRule="auto"/>
      </w:pPr>
      <w:r>
        <w:rPr>
          <w:b/>
        </w:rPr>
        <w:t xml:space="preserve">6. Fomento del uso responsable: </w:t>
      </w:r>
      <w:r>
        <w:t>Evitar el uso indiscriminado de IA cuando no aporte valor pedagógico demostrable.</w:t>
      </w:r>
    </w:p>
    <w:p>
      <w:pPr>
        <w:pStyle w:val="ListBullet"/>
        <w:spacing w:line="276" w:lineRule="auto"/>
      </w:pPr>
      <w:r>
        <w:rPr>
          <w:b/>
        </w:rPr>
        <w:t xml:space="preserve">7. Ética y propiedad intelectual: </w:t>
      </w:r>
      <w:r>
        <w:t>Proteger la autoría de guías y producciones estudiantiles, evitando subir contenidos a plataformas públicas sin salvaguardas.</w:t>
      </w:r>
    </w:p>
    <w:p>
      <w:r>
        <w:rPr>
          <w:b/>
          <w:color w:val="8C1D40"/>
          <w:sz w:val="22"/>
        </w:rPr>
        <w:t>C. Directrices para el Personal Administrativo (8 Mandatos Clave)</w:t>
      </w:r>
    </w:p>
    <w:p>
      <w:pPr>
        <w:pStyle w:val="ListBullet"/>
        <w:spacing w:line="276" w:lineRule="auto"/>
      </w:pPr>
      <w:r>
        <w:rPr>
          <w:b/>
        </w:rPr>
        <w:t xml:space="preserve">1. Capacitación continua: </w:t>
      </w:r>
      <w:r>
        <w:t>Participar en programas de formación de IA orientados a la gestión y servicio universitario.</w:t>
      </w:r>
    </w:p>
    <w:p>
      <w:pPr>
        <w:pStyle w:val="ListBullet"/>
        <w:spacing w:line="276" w:lineRule="auto"/>
      </w:pPr>
      <w:r>
        <w:rPr>
          <w:b/>
        </w:rPr>
        <w:t xml:space="preserve">2. Herramientas oficiales: </w:t>
      </w:r>
      <w:r>
        <w:t>Utilizar exclusivamente software y canales autorizados por la Dirección de Informática.</w:t>
      </w:r>
    </w:p>
    <w:p>
      <w:pPr>
        <w:pStyle w:val="ListBullet"/>
        <w:spacing w:line="276" w:lineRule="auto"/>
      </w:pPr>
      <w:r>
        <w:rPr>
          <w:b/>
        </w:rPr>
        <w:t xml:space="preserve">3. Optimización operativa: </w:t>
      </w:r>
      <w:r>
        <w:t>Automatizar tareas rutinarias para destinar mayor tiempo a la atención humana y de calidad al usuario.</w:t>
      </w:r>
    </w:p>
    <w:p>
      <w:pPr>
        <w:pStyle w:val="ListBullet"/>
        <w:spacing w:line="276" w:lineRule="auto"/>
      </w:pPr>
      <w:r>
        <w:rPr>
          <w:b/>
        </w:rPr>
        <w:t xml:space="preserve">4. Enfoque de servicio: </w:t>
      </w:r>
      <w:r>
        <w:t>Monitorear la satisfacción de la comunidad universitaria en servicios mediados por tecnología.</w:t>
      </w:r>
    </w:p>
    <w:p>
      <w:pPr>
        <w:pStyle w:val="ListBullet"/>
        <w:spacing w:line="276" w:lineRule="auto"/>
      </w:pPr>
      <w:r>
        <w:rPr>
          <w:b/>
        </w:rPr>
        <w:t xml:space="preserve">5. Deber de notificación: </w:t>
      </w:r>
      <w:r>
        <w:t>Informar a los usuarios siempre que interactúen con agentes o respuestas automatizadas (chatbots).</w:t>
      </w:r>
    </w:p>
    <w:p>
      <w:pPr>
        <w:pStyle w:val="ListBullet"/>
        <w:spacing w:line="276" w:lineRule="auto"/>
      </w:pPr>
      <w:r>
        <w:rPr>
          <w:b/>
        </w:rPr>
        <w:t xml:space="preserve">6. Responsabilidad indelegable: </w:t>
      </w:r>
      <w:r>
        <w:t>Las decisiones administrativas, sancionatorias o académicas nunca se delegan a un algoritmo.</w:t>
      </w:r>
    </w:p>
    <w:p>
      <w:pPr>
        <w:pStyle w:val="ListBullet"/>
        <w:spacing w:line="276" w:lineRule="auto"/>
      </w:pPr>
      <w:r>
        <w:rPr>
          <w:b/>
        </w:rPr>
        <w:t xml:space="preserve">7. Protección de datos (Ley 1581 de 2012): </w:t>
      </w:r>
      <w:r>
        <w:t>Prohibición estricta de subir datos personales sensibles o financieros a herramientas de IA públicas.</w:t>
      </w:r>
    </w:p>
    <w:p>
      <w:pPr>
        <w:pStyle w:val="ListBullet"/>
        <w:spacing w:line="276" w:lineRule="auto"/>
      </w:pPr>
      <w:r>
        <w:rPr>
          <w:b/>
        </w:rPr>
        <w:t xml:space="preserve">8. Ciberseguridad y accesos: </w:t>
      </w:r>
      <w:r>
        <w:t>Salvaguardar credenciales y mantener controles de acceso para prevenir fugas de información.</w:t>
      </w:r>
    </w:p>
    <w:p>
      <w:pPr>
        <w:pBdr>
          <w:bottom w:val="single" w:sz="8" w:space="4" w:color="8C1D40"/>
        </w:pBdr>
      </w:pPr>
      <w:r>
        <w:rPr>
          <w:rFonts w:ascii="Calibri" w:hAnsi="Calibri"/>
          <w:b/>
          <w:color w:val="102C57"/>
          <w:sz w:val="26"/>
        </w:rPr>
        <w:t>5. Mecanismos de Gobernanza y Declaración Institucional</w:t>
      </w:r>
    </w:p>
    <w:p>
      <w:pPr>
        <w:spacing w:line="276" w:lineRule="auto"/>
      </w:pPr>
      <w:r>
        <w:t>Para asegurar la aplicación efectiva, la USC define una estructura de gobernanza articulada entre la Dirección General de Investigaciones (DGI), el Comité de Ética en Investigación, la Vicerrectoría Académica y la Dirección de Gestión de Informática y Telemática.</w:t>
      </w:r>
    </w:p>
    <w:p>
      <w:pPr>
        <w:shd w:fill="F2F4F7"/>
      </w:pPr>
      <w:r>
        <w:rPr>
          <w:b/>
        </w:rPr>
        <w:t>Formato Institucional de Declaración de Asistencia de IA (Obligatorio en entregas académicas):</w:t>
        <w:br/>
      </w:r>
      <w:r>
        <w:t>• Herramienta(s) empleada(s): [Nombre del modelo / software, e.g. Claude 3.5 / ChatGPT 4o]</w:t>
        <w:br/>
        <w:t>• Propósito específico: [e.g. Corrección de estilo gramatical / Estructuración inicial de código]</w:t>
        <w:br/>
        <w:t>• Comandos / Prompts representativos: [Transcripción de las instrucciones dadas a la IA]</w:t>
        <w:br/>
        <w:t>• Declaración de autoría: "El autor declara que revisó, verificó y asume la responsabilidad total del contenido y las conclusiones expuestas en este trabajo."</w:t>
      </w:r>
    </w:p>
    <w:p>
      <w:pPr>
        <w:pBdr>
          <w:bottom w:val="single" w:sz="8" w:space="4" w:color="8C1D40"/>
        </w:pBdr>
      </w:pPr>
      <w:r>
        <w:rPr>
          <w:rFonts w:ascii="Calibri" w:hAnsi="Calibri"/>
          <w:b/>
          <w:color w:val="102C57"/>
          <w:sz w:val="26"/>
        </w:rPr>
        <w:t>6. Conclusiones y Conexión con el PETI</w:t>
      </w:r>
    </w:p>
    <w:p>
      <w:pPr>
        <w:pStyle w:val="ListBullet"/>
        <w:spacing w:line="276" w:lineRule="auto"/>
      </w:pPr>
      <w:r>
        <w:rPr>
          <w:b/>
        </w:rPr>
        <w:t xml:space="preserve">Alineación con Estándares Internacionales: </w:t>
      </w:r>
      <w:r>
        <w:t>La Circular Normativa DGI No. 001 refleja los principios rectores de la norma ISO/IEC 42001 (Sistema de Gestión de IA) y del marco NIST AI RMF, promoviendo la gobernanza proactiva.</w:t>
      </w:r>
    </w:p>
    <w:p>
      <w:pPr>
        <w:pStyle w:val="ListBullet"/>
        <w:spacing w:line="276" w:lineRule="auto"/>
      </w:pPr>
      <w:r>
        <w:rPr>
          <w:b/>
        </w:rPr>
        <w:t xml:space="preserve">Enfoque Formativo Superador: </w:t>
      </w:r>
      <w:r>
        <w:t>La universidad abandona el paradigma prohibitivo e impulsa la alfabetización digital ética y el pensamiento crítico.</w:t>
      </w:r>
    </w:p>
    <w:p>
      <w:pPr>
        <w:pStyle w:val="ListBullet"/>
        <w:spacing w:line="276" w:lineRule="auto"/>
      </w:pPr>
      <w:r>
        <w:rPr>
          <w:b/>
        </w:rPr>
        <w:t xml:space="preserve">Conexión con el Proyecto PETI: </w:t>
      </w:r>
      <w:r>
        <w:t>Este informe demuestra cómo los controles planteados en el PETI de Perficient (AIMS, Policy-as-Code para agentes IA y protección de propiedad intelectual) coinciden plenamente con los lineamientos que la Universidad Santiago de Cali exige en su propio ecosistema educativo.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