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los procesos de negocio AS-IS y TO-BE de la solución propuesta.</w:t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Modelo de negocio AS-IS De Proyecto VetMap</w:t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Modelo de negocio TO-BE De Proyecto VetMap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352425</wp:posOffset>
            </wp:positionV>
            <wp:extent cx="5963237" cy="282912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3237" cy="2829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rv3N59zjK7okO71LGzbvOhfmpQ==">CgMxLjA4AHIhMXdIeUw1YlpiME1jU0w0TS1peDFFcUlPV0lZSFl2RzJs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