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项目周报</w:t>
      </w:r>
    </w:p>
    <w:p>
      <w:pPr>
        <w:pStyle w:val="Heading1"/>
      </w:pPr>
      <w:r>
        <w:t>本周进展</w:t>
      </w:r>
    </w:p>
    <w:p>
      <w:r>
        <w:t>完成接口联调，耗时 3 天。</w:t>
      </w:r>
    </w:p>
    <w:p>
      <w:pPr>
        <w:pStyle w:val="Heading1"/>
      </w:pPr>
      <w:r>
        <w:t>风险</w:t>
      </w:r>
    </w:p>
    <w:p>
      <w:r>
        <w:t>测试环境尚未开放。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