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0"/>
        <w:jc w:val="both"/>
        <w:rPr>
          <w:rFonts w:ascii="Teko" w:cs="Teko" w:eastAsia="Teko" w:hAnsi="Teko"/>
          <w:b w:val="1"/>
          <w:bCs w:val="1"/>
          <w:color w:val="c00000"/>
        </w:rPr>
      </w:pPr>
      <w:r w:rsidDel="00000000" w:rsidR="00000000" w:rsidRPr="00000000">
        <w:rPr>
          <w:rFonts w:ascii="Teko" w:cs="Teko" w:eastAsia="Teko" w:hAnsi="Teko"/>
          <w:b w:val="1"/>
          <w:bCs w:val="1"/>
          <w:color w:val="c00000"/>
          <w:rtl w:val="0"/>
        </w:rPr>
        <w:t xml:space="preserve">Folio: 2125-170757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rFonts w:ascii="Teko" w:cs="Teko" w:eastAsia="Teko" w:hAnsi="Teko"/>
          <w:b w:val="1"/>
          <w:bCs w:val="1"/>
          <w:color w:val="548dd4"/>
        </w:rPr>
      </w:pPr>
      <w:r w:rsidDel="00000000" w:rsidR="00000000" w:rsidRPr="00000000">
        <w:rPr>
          <w:rFonts w:ascii="Teko" w:cs="Teko" w:eastAsia="Teko" w:hAnsi="Teko"/>
          <w:b w:val="1"/>
          <w:bCs w:val="1"/>
          <w:color w:val="c00000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Teko" w:cs="Teko" w:eastAsia="Teko" w:hAnsi="Teko"/>
          <w:b w:val="1"/>
          <w:bCs w:val="1"/>
          <w:i w:val="1"/>
          <w:iCs w:val="1"/>
          <w:color w:val="b7dde8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eko" w:cs="Teko" w:eastAsia="Teko" w:hAnsi="Teko"/>
          <w:b w:val="1"/>
          <w:bCs w:val="1"/>
          <w:color w:val="b7dde8"/>
          <w:sz w:val="28"/>
          <w:szCs w:val="28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Teko" w:cs="Teko" w:eastAsia="Teko" w:hAnsi="Teko"/>
          <w:b w:val="1"/>
          <w:bCs w:val="1"/>
          <w:color w:val="b7dde8"/>
          <w:rtl w:val="0"/>
        </w:rPr>
        <w:t xml:space="preserve">         </w:t>
      </w:r>
      <w:r w:rsidDel="00000000" w:rsidR="00000000" w:rsidRPr="00000000">
        <w:rPr>
          <w:rFonts w:ascii="Teko" w:cs="Teko" w:eastAsia="Teko" w:hAnsi="Teko"/>
          <w:b w:val="1"/>
          <w:bCs w:val="1"/>
          <w:color w:val="548dd4"/>
          <w:rtl w:val="0"/>
        </w:rPr>
        <w:t xml:space="preserve">RNE 978-607-99342  </w:t>
      </w:r>
    </w:p>
    <w:p w:rsidR="00000000" w:rsidDel="00000000" w:rsidP="00000000" w:rsidRDefault="00000000" w:rsidRPr="00000000" w14:paraId="00000003">
      <w:pPr>
        <w:jc w:val="both"/>
        <w:rPr>
          <w:rFonts w:ascii="Teko" w:cs="Teko" w:eastAsia="Teko" w:hAnsi="Teko"/>
          <w:b w:val="1"/>
          <w:bCs w:val="1"/>
          <w:color w:val="548dd4"/>
        </w:rPr>
      </w:pPr>
      <w:r w:rsidDel="00000000" w:rsidR="00000000" w:rsidRPr="00000000">
        <w:rPr>
          <w:rFonts w:ascii="Teko" w:cs="Teko" w:eastAsia="Teko" w:hAnsi="Teko"/>
          <w:b w:val="1"/>
          <w:bCs w:val="1"/>
          <w:color w:val="548dd4"/>
          <w:rtl w:val="0"/>
        </w:rPr>
        <w:tab/>
        <w:tab/>
        <w:tab/>
        <w:tab/>
        <w:tab/>
        <w:tab/>
        <w:tab/>
        <w:tab/>
        <w:t xml:space="preserve">          RENIECyT: 2300390</w:t>
      </w:r>
    </w:p>
    <w:p w:rsidR="00000000" w:rsidDel="00000000" w:rsidP="00000000" w:rsidRDefault="00000000" w:rsidRPr="00000000" w14:paraId="00000004">
      <w:pPr>
        <w:jc w:val="both"/>
        <w:rPr>
          <w:rFonts w:ascii="Teko" w:cs="Teko" w:eastAsia="Teko" w:hAnsi="Teko"/>
          <w:b w:val="1"/>
          <w:bCs w:val="1"/>
          <w:color w:val="548dd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eko" w:cs="Teko" w:eastAsia="Teko" w:hAnsi="Teko"/>
          <w:b w:val="1"/>
          <w:bCs w:val="1"/>
          <w:sz w:val="22"/>
          <w:szCs w:val="22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2"/>
          <w:szCs w:val="22"/>
          <w:rtl w:val="0"/>
        </w:rPr>
        <w:t xml:space="preserve">Ecatepec, Edomex a 27 de enero de 2026</w:t>
      </w:r>
    </w:p>
    <w:p w:rsidR="00000000" w:rsidDel="00000000" w:rsidP="00000000" w:rsidRDefault="00000000" w:rsidRPr="00000000" w14:paraId="00000006">
      <w:pPr>
        <w:jc w:val="right"/>
        <w:rPr>
          <w:rFonts w:ascii="Teko" w:cs="Teko" w:eastAsia="Teko" w:hAnsi="Teko"/>
          <w:color w:val="000000"/>
          <w:sz w:val="22"/>
          <w:szCs w:val="22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2"/>
          <w:szCs w:val="22"/>
          <w:rtl w:val="0"/>
        </w:rPr>
        <w:t xml:space="preserve">Asunto: </w:t>
      </w:r>
      <w:r w:rsidDel="00000000" w:rsidR="00000000" w:rsidRPr="00000000">
        <w:rPr>
          <w:rFonts w:ascii="Teko" w:cs="Teko" w:eastAsia="Teko" w:hAnsi="Teko"/>
          <w:sz w:val="22"/>
          <w:szCs w:val="22"/>
          <w:rtl w:val="0"/>
        </w:rPr>
        <w:t xml:space="preserve">Constancia por evaluación académica de capítulo de libro</w:t>
      </w:r>
      <w:r w:rsidDel="00000000" w:rsidR="00000000" w:rsidRPr="00000000">
        <w:rPr>
          <w:rFonts w:ascii="Teko" w:cs="Teko" w:eastAsia="Teko" w:hAnsi="Teko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eko" w:cs="Teko" w:eastAsia="Teko" w:hAnsi="Tek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eko" w:cs="Teko" w:eastAsia="Teko" w:hAnsi="Teko"/>
          <w:b w:val="1"/>
          <w:bCs w:val="1"/>
          <w:sz w:val="36"/>
          <w:szCs w:val="36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36"/>
          <w:szCs w:val="36"/>
          <w:rtl w:val="0"/>
        </w:rPr>
        <w:t xml:space="preserve">La Red Internacional de Docencia e Investigación Educativa y</w:t>
      </w:r>
    </w:p>
    <w:p w:rsidR="00000000" w:rsidDel="00000000" w:rsidP="00000000" w:rsidRDefault="00000000" w:rsidRPr="00000000" w14:paraId="00000009">
      <w:pPr>
        <w:jc w:val="center"/>
        <w:rPr>
          <w:rFonts w:ascii="Teko" w:cs="Teko" w:eastAsia="Teko" w:hAnsi="Teko"/>
          <w:b w:val="1"/>
          <w:bCs w:val="1"/>
          <w:sz w:val="36"/>
          <w:szCs w:val="36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36"/>
          <w:szCs w:val="36"/>
          <w:rtl w:val="0"/>
        </w:rPr>
        <w:t xml:space="preserve">La Editorial Interpec</w:t>
      </w:r>
    </w:p>
    <w:p w:rsidR="00000000" w:rsidDel="00000000" w:rsidP="00000000" w:rsidRDefault="00000000" w:rsidRPr="00000000" w14:paraId="0000000A">
      <w:pPr>
        <w:jc w:val="center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a través del </w:t>
      </w:r>
    </w:p>
    <w:p w:rsidR="00000000" w:rsidDel="00000000" w:rsidP="00000000" w:rsidRDefault="00000000" w:rsidRPr="00000000" w14:paraId="0000000B">
      <w:pPr>
        <w:jc w:val="center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Instituto de Investigaciones Interdisciplinarias en Educación, Política y Cultura, AC.</w:t>
      </w:r>
    </w:p>
    <w:p w:rsidR="00000000" w:rsidDel="00000000" w:rsidP="00000000" w:rsidRDefault="00000000" w:rsidRPr="00000000" w14:paraId="0000000C">
      <w:pPr>
        <w:jc w:val="center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Emite la presente constancia al </w:t>
      </w:r>
      <w:r w:rsidDel="00000000" w:rsidR="00000000" w:rsidRPr="00000000">
        <w:rPr>
          <w:rFonts w:ascii="Teko" w:cs="Teko" w:eastAsia="Teko" w:hAnsi="Teko"/>
          <w:b w:val="1"/>
          <w:bCs w:val="1"/>
          <w:rtl w:val="0"/>
        </w:rPr>
        <w:t xml:space="preserve">Dr. Jorge Garduño Durán</w:t>
      </w: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de la Escuela Normal de Educación Física Gral. Ignacio M. Beteta y miembro del Sistema Nacional de Investigadoras e Investigadores (SNII) con CVU-SECIHTI: 1120720, por realizar dictamen académico de capítulo de libro</w:t>
      </w: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denominado “La Práctica Profesional en los andamios de la Nueva Escuela”, mismo que será parte del libro colaborativo: </w:t>
      </w:r>
      <w:r w:rsidDel="00000000" w:rsidR="00000000" w:rsidRPr="00000000">
        <w:rPr>
          <w:rFonts w:ascii="Teko" w:cs="Teko" w:eastAsia="Teko" w:hAnsi="Teko"/>
          <w:i w:val="1"/>
          <w:iCs w:val="1"/>
          <w:sz w:val="28"/>
          <w:szCs w:val="28"/>
          <w:rtl w:val="0"/>
        </w:rPr>
        <w:t xml:space="preserve">Impactos de la investigación educativa en la formación y práctica docente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, dictamen que se entregó en el mes de noviembre del presente año a esta Editorial.</w:t>
      </w:r>
    </w:p>
    <w:p w:rsidR="00000000" w:rsidDel="00000000" w:rsidP="00000000" w:rsidRDefault="00000000" w:rsidRPr="00000000" w14:paraId="0000000E">
      <w:pPr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Fecha de inicio del dictamen: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 23 de diciembre, 2025. </w:t>
      </w:r>
    </w:p>
    <w:p w:rsidR="00000000" w:rsidDel="00000000" w:rsidP="00000000" w:rsidRDefault="00000000" w:rsidRPr="00000000" w14:paraId="00000010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Fecha de finalización: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26 de enero, 2026. </w:t>
      </w:r>
    </w:p>
    <w:p w:rsidR="00000000" w:rsidDel="00000000" w:rsidP="00000000" w:rsidRDefault="00000000" w:rsidRPr="00000000" w14:paraId="00000011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Cargo desempeñado: Miembro del Comité Editorial de la Red Internacional de Docencia e Investigación Educativa RedIDIE </w:t>
      </w:r>
    </w:p>
    <w:p w:rsidR="00000000" w:rsidDel="00000000" w:rsidP="00000000" w:rsidRDefault="00000000" w:rsidRPr="00000000" w14:paraId="00000012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b="0" l="0" r="0" t="0"/>
            <wp:wrapNone/>
            <wp:docPr id="89871370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b="0" l="0" r="0" t="0"/>
            <wp:wrapNone/>
            <wp:docPr id="8987137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8639" r="9492" t="8107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5391"/>
        <w:tblGridChange w:id="0">
          <w:tblGrid>
            <w:gridCol w:w="3969"/>
            <w:gridCol w:w="53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eko" w:cs="Teko" w:eastAsia="Teko" w:hAnsi="Tek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b w:val="1"/>
                <w:bCs w:val="1"/>
                <w:sz w:val="28"/>
                <w:szCs w:val="28"/>
                <w:rtl w:val="0"/>
              </w:rPr>
              <w:t xml:space="preserve">Dr. Juan de Dios Escalante Rodríguez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eko" w:cs="Teko" w:eastAsia="Teko" w:hAnsi="Teko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sz w:val="28"/>
                <w:szCs w:val="28"/>
                <w:rtl w:val="0"/>
              </w:rPr>
              <w:t xml:space="preserve">Presidente de INTERPEC, AC.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eko" w:cs="Teko" w:eastAsia="Teko" w:hAnsi="Teko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sz w:val="28"/>
                <w:szCs w:val="28"/>
                <w:rtl w:val="0"/>
              </w:rPr>
              <w:t xml:space="preserve">Director de Editorial Interpec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eko" w:cs="Teko" w:eastAsia="Teko" w:hAnsi="Teko"/>
                  <w:color w:val="000000"/>
                  <w:sz w:val="28"/>
                  <w:szCs w:val="28"/>
                  <w:u w:val="single"/>
                  <w:rtl w:val="0"/>
                </w:rPr>
                <w:t xml:space="preserve">editorialinterpecac@gmail.com</w:t>
              </w:r>
            </w:hyperlink>
            <w:r w:rsidDel="00000000" w:rsidR="00000000" w:rsidRPr="00000000">
              <w:rPr>
                <w:rFonts w:ascii="Teko" w:cs="Teko" w:eastAsia="Teko" w:hAnsi="Teko"/>
                <w:color w:val="000000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  <w:u w:val="single"/>
              </w:rPr>
            </w:pPr>
            <w:hyperlink r:id="rId10">
              <w:r w:rsidDel="00000000" w:rsidR="00000000" w:rsidRPr="00000000">
                <w:rPr>
                  <w:rFonts w:ascii="Teko" w:cs="Teko" w:eastAsia="Teko" w:hAnsi="Teko"/>
                  <w:b w:val="1"/>
                  <w:bCs w:val="1"/>
                  <w:color w:val="000000"/>
                  <w:u w:val="single"/>
                  <w:rtl w:val="0"/>
                </w:rPr>
                <w:t xml:space="preserve">www.editorialinterpecac.org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eko" w:cs="Teko" w:eastAsia="Teko" w:hAnsi="Teko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Dra. Edith Castañeda Mendoza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color w:val="000000"/>
                <w:sz w:val="28"/>
                <w:szCs w:val="28"/>
                <w:rtl w:val="0"/>
              </w:rPr>
              <w:t xml:space="preserve">Miembro Fundador de la RED-IDIE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color w:val="000000"/>
                <w:sz w:val="28"/>
                <w:szCs w:val="28"/>
                <w:rtl w:val="0"/>
              </w:rPr>
              <w:t xml:space="preserve">Miembro del SNII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</w:rPr>
            </w:pPr>
            <w:hyperlink r:id="rId11">
              <w:r w:rsidDel="00000000" w:rsidR="00000000" w:rsidRPr="00000000">
                <w:rPr>
                  <w:color w:val="000000"/>
                  <w:u w:val="single"/>
                  <w:rtl w:val="0"/>
                </w:rPr>
                <w:t xml:space="preserve">redidie.mexico@gmail.com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eko" w:cs="Teko" w:eastAsia="Teko" w:hAnsi="Teko"/>
                <w:b w:val="1"/>
                <w:bCs w:val="1"/>
                <w:color w:val="000000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000000"/>
                  <w:u w:val="single"/>
                  <w:rtl w:val="0"/>
                </w:rPr>
                <w:t xml:space="preserve">https://red-idie.org/home/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95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940" w:top="2680" w:left="1800" w:right="1080" w:header="285" w:footer="74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eko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b="0" l="0" r="0" t="0"/>
              <wp:wrapNone/>
              <wp:docPr id="89871370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vertAlign w:val="baseline"/>
                            </w:rPr>
                            <w:t xml:space="preserve">Editorial Interpec: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u w:val="single"/>
                              <w:vertAlign w:val="baseline"/>
                            </w:rPr>
                            <w:t xml:space="preserve">www.editorialinterpec.org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b="0" l="0" r="0" t="0"/>
              <wp:wrapNone/>
              <wp:docPr id="8987137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336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b="0" l="0" r="0" t="0"/>
              <wp:wrapNone/>
              <wp:docPr id="89871370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vertAlign w:val="baseline"/>
                            </w:rPr>
                            <w:t xml:space="preserve">REDIDIE: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u w:val="single"/>
                              <w:vertAlign w:val="baseline"/>
                            </w:rPr>
                            <w:t xml:space="preserve">https://red-idie.org/home/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b="0" l="0" r="0" t="0"/>
              <wp:wrapNone/>
              <wp:docPr id="8987137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b="0" l="0" r="0" t="0"/>
          <wp:wrapNone/>
          <wp:docPr id="8987137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b="0" l="0" r="0" t="0"/>
          <wp:wrapNone/>
          <wp:docPr id="89871370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77" w:right="974"/>
      <w:jc w:val="center"/>
    </w:pPr>
    <w:rPr>
      <w:rFonts w:ascii="Teko" w:cs="Teko" w:eastAsia="Teko" w:hAnsi="Teko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uppressAutoHyphens w:val="0"/>
      <w:autoSpaceDE w:val="0"/>
      <w:autoSpaceDN w:val="0"/>
    </w:pPr>
    <w:rPr>
      <w:rFonts w:ascii="Agency FB" w:cs="Agency FB" w:eastAsia="Agency FB" w:hAnsi="Agency FB"/>
      <w:b w:val="1"/>
      <w:bCs w:val="1"/>
      <w:color w:val="auto"/>
      <w:sz w:val="28"/>
      <w:szCs w:val="28"/>
      <w:lang w:eastAsia="en-US" w:val="es-ES"/>
    </w:rPr>
  </w:style>
  <w:style w:type="paragraph" w:styleId="Prrafodelista">
    <w:name w:val="List Paragraph"/>
    <w:basedOn w:val="Normal"/>
    <w:uiPriority w:val="1"/>
    <w:qFormat w:val="1"/>
    <w:pPr>
      <w:suppressAutoHyphens w:val="0"/>
      <w:autoSpaceDE w:val="0"/>
      <w:autoSpaceDN w:val="0"/>
    </w:pPr>
    <w:rPr>
      <w:rFonts w:ascii="Agency FB" w:cs="Agency FB" w:eastAsia="Agency FB" w:hAnsi="Agency FB"/>
      <w:color w:val="auto"/>
      <w:sz w:val="22"/>
      <w:szCs w:val="22"/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pPr>
      <w:suppressAutoHyphens w:val="0"/>
      <w:autoSpaceDE w:val="0"/>
      <w:autoSpaceDN w:val="0"/>
      <w:ind w:left="452" w:hanging="403"/>
    </w:pPr>
    <w:rPr>
      <w:rFonts w:ascii="Agency FB" w:cs="Agency FB" w:eastAsia="Agency FB" w:hAnsi="Agency FB"/>
      <w:color w:val="auto"/>
      <w:sz w:val="22"/>
      <w:szCs w:val="22"/>
      <w:lang w:eastAsia="en-US" w:val="es-ES"/>
    </w:rPr>
  </w:style>
  <w:style w:type="character" w:styleId="Hipervnculo">
    <w:name w:val="Hyperlink"/>
    <w:basedOn w:val="Fuentedeprrafopredeter"/>
    <w:uiPriority w:val="99"/>
    <w:unhideWhenUsed w:val="1"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pPr>
      <w:autoSpaceDE w:val="1"/>
      <w:autoSpaceDN w:val="1"/>
    </w:pPr>
    <w:rPr>
      <w:rFonts w:ascii="Liberation Serif" w:cs="Liberation Serif" w:eastAsia="Liberation Serif" w:hAnsi="Liberation Serif"/>
      <w:color w:val="00000a"/>
      <w:sz w:val="24"/>
      <w:szCs w:val="24"/>
      <w:lang w:eastAsia="es-MX" w:val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E12F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E12F8"/>
    <w:rPr>
      <w:rFonts w:ascii="Liberation Serif" w:cs="Liberation Serif" w:eastAsia="Liberation Serif" w:hAnsi="Liberation Serif"/>
      <w:color w:val="00000a"/>
      <w:sz w:val="24"/>
      <w:szCs w:val="24"/>
      <w:lang w:eastAsia="es-MX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4E12F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E12F8"/>
    <w:rPr>
      <w:rFonts w:ascii="Liberation Serif" w:cs="Liberation Serif" w:eastAsia="Liberation Serif" w:hAnsi="Liberation Serif"/>
      <w:color w:val="00000a"/>
      <w:sz w:val="24"/>
      <w:szCs w:val="24"/>
      <w:lang w:eastAsia="es-MX" w:val="es-MX"/>
    </w:rPr>
  </w:style>
  <w:style w:type="paragraph" w:styleId="Listaconvietas">
    <w:name w:val="List Bullet"/>
    <w:basedOn w:val="Normal"/>
    <w:uiPriority w:val="99"/>
    <w:unhideWhenUsed w:val="1"/>
    <w:rsid w:val="00877761"/>
    <w:pPr>
      <w:numPr>
        <w:numId w:val="1"/>
      </w:num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Liberation Serif" w:cs="Liberation Serif" w:eastAsia="Liberation Serif" w:hAnsi="Liberation Serif"/>
      <w:color w:val="00000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redidie.mexico@gmail.com" TargetMode="External"/><Relationship Id="rId10" Type="http://schemas.openxmlformats.org/officeDocument/2006/relationships/hyperlink" Target="http://www.editorialinterpecac.or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red-idie.org/ho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ditorialinterpecac@gmail.com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2026-01-09T04:16:00Z</dcterms:created>
  <dc:creator>FRANCISCO TAPIA VELAZQUEZ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