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40"/>
          <w:szCs w:val="40"/>
        </w:rPr>
        <w:t xml:space="preserve">Caso de Uso</w:t>
      </w:r>
    </w:p>
    <w:p>
      <w:pPr>
        <w:spacing w:after="240"/>
        <w:jc w:val="center"/>
      </w:pPr>
      <w:r>
        <w:rPr>
          <w:rFonts w:ascii="Calibri" w:cs="Calibri" w:eastAsia="Calibri" w:hAnsi="Calibri"/>
          <w:b/>
          <w:bCs/>
          <w:sz w:val="26"/>
          <w:szCs w:val="26"/>
        </w:rPr>
        <w:t xml:space="preserve">Sistema de Gestión de Quejas, Reclamos, Denuncias y Sugerencias de Soporte Técnico</w:t>
      </w:r>
    </w:p>
    <w:p>
      <w:pPr>
        <w:spacing w:after="320"/>
        <w:jc w:val="center"/>
      </w:pPr>
      <w:r>
        <w:rPr>
          <w:rFonts w:ascii="Calibri" w:cs="Calibri" w:eastAsia="Calibri" w:hAnsi="Calibri"/>
          <w:b/>
          <w:bCs/>
          <w:sz w:val="32"/>
          <w:szCs w:val="32"/>
        </w:rPr>
        <w:t xml:space="preserve">Asignación de Solicitudes</w:t>
      </w:r>
    </w:p>
    <w:p>
      <w:pPr>
        <w:spacing w:after="120"/>
        <w:jc w:val="center"/>
      </w:pPr>
      <w:r>
        <w:rPr>
          <w:rFonts w:ascii="Calibri" w:cs="Calibri" w:eastAsia="Calibri" w:hAnsi="Calibri"/>
          <w:sz w:val="22"/>
          <w:szCs w:val="22"/>
        </w:rPr>
        <w:t xml:space="preserve">Versión 1.0</w:t>
      </w:r>
    </w:p>
    <w:p>
      <w:pPr>
        <w:spacing w:after="120"/>
        <w:jc w:val="center"/>
      </w:pPr>
      <w:r>
        <w:rPr>
          <w:rFonts w:ascii="Calibri" w:cs="Calibri" w:eastAsia="Calibri" w:hAnsi="Calibri"/>
          <w:sz w:val="22"/>
          <w:szCs w:val="22"/>
        </w:rPr>
        <w:t xml:space="preserve">Elaborado por</w:t>
      </w:r>
    </w:p>
    <w:p>
      <w:pPr>
        <w:spacing w:after="400"/>
        <w:jc w:val="center"/>
      </w:pPr>
      <w:r>
        <w:rPr>
          <w:rFonts w:ascii="Calibri" w:cs="Calibri" w:eastAsia="Calibri" w:hAnsi="Calibri"/>
          <w:sz w:val="22"/>
          <w:szCs w:val="22"/>
        </w:rPr>
        <w:t xml:space="preserve">Fecha Elaboración</w:t>
      </w:r>
    </w:p>
    <w:p>
      <w:pPr>
        <w:spacing w:after="160"/>
      </w:pPr>
      <w:r>
        <w:rPr>
          <w:rFonts w:ascii="Calibri" w:cs="Calibri" w:eastAsia="Calibri" w:hAnsi="Calibri"/>
          <w:b/>
          <w:bCs/>
          <w:sz w:val="24"/>
          <w:szCs w:val="24"/>
        </w:rPr>
        <w:t xml:space="preserve">Historial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000"/>
        <w:gridCol w:w="1560"/>
      </w:tblGrid>
      <w:tr>
        <w:trPr>
          <w:tblHeader/>
        </w:trPr>
        <w:tc>
          <w:tcPr>
            <w:tcW w:type="dxa" w:w="22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1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Fecha</w:t>
            </w:r>
          </w:p>
        </w:tc>
        <w:tc>
          <w:tcPr>
            <w:tcW w:type="dxa" w:w="40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Descripción del Cambio</w:t>
            </w:r>
          </w:p>
        </w:tc>
        <w:tc>
          <w:tcPr>
            <w:tcW w:type="dxa" w:w="15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Versión</w:t>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22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40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56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200"/>
      </w:pPr>
      <w:r>
        <w:rPr>
          <w:rFonts w:ascii="Calibri" w:cs="Calibri" w:eastAsia="Calibri" w:hAnsi="Calibri"/>
        </w:rPr>
        <w:t xml:space="preserve"/>
      </w:r>
    </w:p>
    <w:p>
      <w:pPr>
        <w:pStyle w:val="Heading1"/>
        <w:spacing w:after="160" w:before="280"/>
      </w:pPr>
      <w:r>
        <w:rPr>
          <w:rFonts w:ascii="Calibri" w:cs="Calibri" w:eastAsia="Calibri" w:hAnsi="Calibri"/>
          <w:b/>
          <w:bCs/>
          <w:color w:val="2E74B5"/>
          <w:sz w:val="28"/>
          <w:szCs w:val="28"/>
        </w:rPr>
        <w:t xml:space="preserve">1. Introducción</w:t>
      </w:r>
    </w:p>
    <w:p>
      <w:pPr>
        <w:pStyle w:val="Heading1"/>
        <w:spacing w:after="160" w:before="280"/>
      </w:pPr>
      <w:r>
        <w:rPr>
          <w:rFonts w:ascii="Calibri" w:cs="Calibri" w:eastAsia="Calibri" w:hAnsi="Calibri"/>
          <w:b/>
          <w:bCs/>
          <w:color w:val="2E74B5"/>
          <w:sz w:val="28"/>
          <w:szCs w:val="28"/>
        </w:rPr>
        <w:t xml:space="preserve">1.1 Descripción</w:t>
      </w:r>
    </w:p>
    <w:p>
      <w:pPr>
        <w:spacing w:after="120" w:line="276"/>
      </w:pPr>
      <w:r>
        <w:rPr>
          <w:rFonts w:ascii="Calibri" w:cs="Calibri" w:eastAsia="Calibri" w:hAnsi="Calibri"/>
          <w:sz w:val="22"/>
          <w:szCs w:val="22"/>
        </w:rPr>
        <w:t xml:space="preserve">El presente documento describe la forma en que el sistema distribuye automáticamente las solicitudes entre los técnicos de soporte de SolTec Servicios Tecnológicos, S.A., determinando por sí mismo cuál es el técnico más adecuado para atender cada caso, sin que medie la intervención de un supervisor ni la elección del propio técnico.</w:t>
      </w:r>
    </w:p>
    <w:p>
      <w:pPr>
        <w:spacing w:after="100" w:before="160"/>
      </w:pPr>
      <w:r>
        <w:rPr>
          <w:rFonts w:ascii="Calibri" w:cs="Calibri" w:eastAsia="Calibri" w:hAnsi="Calibri"/>
          <w:b/>
          <w:bCs/>
          <w:sz w:val="22"/>
          <w:szCs w:val="22"/>
        </w:rPr>
        <w:t xml:space="preserve">1.2 Objetivo</w:t>
      </w:r>
    </w:p>
    <w:p>
      <w:pPr>
        <w:spacing w:after="120" w:line="276"/>
      </w:pPr>
      <w:r>
        <w:rPr>
          <w:rFonts w:ascii="Calibri" w:cs="Calibri" w:eastAsia="Calibri" w:hAnsi="Calibri"/>
          <w:sz w:val="22"/>
          <w:szCs w:val="22"/>
        </w:rPr>
        <w:t xml:space="preserve">Garantizar que toda solicitud que requiera atención técnica sea entregada al técnico en mejores condiciones de resolverla, considerando la urgencia del caso, el tiempo que lleva esperando, la especialidad requerida y la carga de trabajo de cada técnico, de manera que la distribución sea equitativa y ningún caso quede sin atender.</w:t>
      </w:r>
    </w:p>
    <w:p>
      <w:pPr>
        <w:pStyle w:val="Heading1"/>
        <w:spacing w:after="160" w:before="280"/>
      </w:pPr>
      <w:r>
        <w:rPr>
          <w:rFonts w:ascii="Calibri" w:cs="Calibri" w:eastAsia="Calibri" w:hAnsi="Calibri"/>
          <w:b/>
          <w:bCs/>
          <w:color w:val="2E74B5"/>
          <w:sz w:val="28"/>
          <w:szCs w:val="28"/>
        </w:rPr>
        <w:t xml:space="preserve">2. Definición Caso de Uso</w:t>
      </w:r>
    </w:p>
    <w:p>
      <w:pPr>
        <w:pStyle w:val="Heading2"/>
        <w:spacing w:after="120" w:before="220"/>
      </w:pPr>
      <w:r>
        <w:rPr>
          <w:rFonts w:ascii="Calibri" w:cs="Calibri" w:eastAsia="Calibri" w:hAnsi="Calibri"/>
          <w:b/>
          <w:bCs/>
          <w:color w:val="2E74B5"/>
          <w:sz w:val="24"/>
          <w:szCs w:val="24"/>
        </w:rPr>
        <w:t xml:space="preserve">Actores</w:t>
      </w:r>
    </w:p>
    <w:p>
      <w:pPr>
        <w:pStyle w:val="ListParagraph"/>
        <w:numPr>
          <w:ilvl w:val="0"/>
          <w:numId w:val="2"/>
        </w:numPr>
        <w:spacing w:after="80" w:line="276"/>
      </w:pPr>
      <w:r>
        <w:rPr>
          <w:rFonts w:ascii="Calibri" w:cs="Calibri" w:eastAsia="Calibri" w:hAnsi="Calibri"/>
          <w:sz w:val="22"/>
          <w:szCs w:val="22"/>
        </w:rPr>
        <w:t xml:space="preserve">Sistema Informático (actor principal)</w:t>
      </w:r>
    </w:p>
    <w:p>
      <w:pPr>
        <w:pStyle w:val="ListParagraph"/>
        <w:numPr>
          <w:ilvl w:val="0"/>
          <w:numId w:val="2"/>
        </w:numPr>
        <w:spacing w:after="80" w:line="276"/>
      </w:pPr>
      <w:r>
        <w:rPr>
          <w:rFonts w:ascii="Calibri" w:cs="Calibri" w:eastAsia="Calibri" w:hAnsi="Calibri"/>
          <w:sz w:val="22"/>
          <w:szCs w:val="22"/>
        </w:rPr>
        <w:t xml:space="preserve">Técnico de Soporte (actor secundario)</w:t>
      </w:r>
    </w:p>
    <w:p>
      <w:pPr>
        <w:pStyle w:val="ListParagraph"/>
        <w:numPr>
          <w:ilvl w:val="0"/>
          <w:numId w:val="2"/>
        </w:numPr>
        <w:spacing w:after="80" w:line="276"/>
      </w:pPr>
      <w:r>
        <w:rPr>
          <w:rFonts w:ascii="Calibri" w:cs="Calibri" w:eastAsia="Calibri" w:hAnsi="Calibri"/>
          <w:sz w:val="22"/>
          <w:szCs w:val="22"/>
        </w:rPr>
        <w:t xml:space="preserve">Supervisor de Soporte (actor secundario)</w:t>
      </w:r>
    </w:p>
    <w:p>
      <w:pPr>
        <w:pStyle w:val="Heading2"/>
        <w:spacing w:after="120" w:before="220"/>
      </w:pPr>
      <w:r>
        <w:rPr>
          <w:rFonts w:ascii="Calibri" w:cs="Calibri" w:eastAsia="Calibri" w:hAnsi="Calibri"/>
          <w:b/>
          <w:bCs/>
          <w:color w:val="2E74B5"/>
          <w:sz w:val="24"/>
          <w:szCs w:val="24"/>
        </w:rPr>
        <w:t xml:space="preserve">Precondiciones</w:t>
      </w:r>
    </w:p>
    <w:p>
      <w:pPr>
        <w:pStyle w:val="ListParagraph"/>
        <w:numPr>
          <w:ilvl w:val="0"/>
          <w:numId w:val="3"/>
        </w:numPr>
        <w:spacing w:after="80" w:line="276"/>
      </w:pPr>
      <w:r>
        <w:rPr>
          <w:rFonts w:ascii="Calibri" w:cs="Calibri" w:eastAsia="Calibri" w:hAnsi="Calibri"/>
          <w:sz w:val="22"/>
          <w:szCs w:val="22"/>
        </w:rPr>
        <w:t xml:space="preserve">Deben existir técnicos de soporte registrados y habilitados en el sistema.</w:t>
      </w:r>
    </w:p>
    <w:p>
      <w:pPr>
        <w:pStyle w:val="ListParagraph"/>
        <w:numPr>
          <w:ilvl w:val="0"/>
          <w:numId w:val="3"/>
        </w:numPr>
        <w:spacing w:after="80" w:line="276"/>
      </w:pPr>
      <w:r>
        <w:rPr>
          <w:rFonts w:ascii="Calibri" w:cs="Calibri" w:eastAsia="Calibri" w:hAnsi="Calibri"/>
          <w:sz w:val="22"/>
          <w:szCs w:val="22"/>
        </w:rPr>
        <w:t xml:space="preserve">Cada técnico debe tener definida su capacidad máxima de casos y sus especialidades.</w:t>
      </w:r>
    </w:p>
    <w:p>
      <w:pPr>
        <w:pStyle w:val="ListParagraph"/>
        <w:numPr>
          <w:ilvl w:val="0"/>
          <w:numId w:val="3"/>
        </w:numPr>
        <w:spacing w:after="80" w:line="276"/>
      </w:pPr>
      <w:r>
        <w:rPr>
          <w:rFonts w:ascii="Calibri" w:cs="Calibri" w:eastAsia="Calibri" w:hAnsi="Calibri"/>
          <w:sz w:val="22"/>
          <w:szCs w:val="22"/>
        </w:rPr>
        <w:t xml:space="preserve">Los parámetros de distribución deben estar configurados en el sistema.</w:t>
      </w:r>
    </w:p>
    <w:p>
      <w:pPr>
        <w:pStyle w:val="ListParagraph"/>
        <w:numPr>
          <w:ilvl w:val="0"/>
          <w:numId w:val="3"/>
        </w:numPr>
        <w:spacing w:after="80" w:line="276"/>
      </w:pPr>
      <w:r>
        <w:rPr>
          <w:rFonts w:ascii="Calibri" w:cs="Calibri" w:eastAsia="Calibri" w:hAnsi="Calibri"/>
          <w:sz w:val="22"/>
          <w:szCs w:val="22"/>
        </w:rPr>
        <w:t xml:space="preserve">Debe existir al menos una solicitud pendiente de asignación.</w:t>
      </w:r>
    </w:p>
    <w:p>
      <w:pPr>
        <w:pStyle w:val="Heading2"/>
        <w:spacing w:after="120" w:before="220"/>
      </w:pPr>
      <w:r>
        <w:rPr>
          <w:rFonts w:ascii="Calibri" w:cs="Calibri" w:eastAsia="Calibri" w:hAnsi="Calibri"/>
          <w:b/>
          <w:bCs/>
          <w:color w:val="2E74B5"/>
          <w:sz w:val="24"/>
          <w:szCs w:val="24"/>
        </w:rPr>
        <w:t xml:space="preserve">Flujo Normal Básico</w:t>
      </w:r>
    </w:p>
    <w:p>
      <w:pPr>
        <w:pStyle w:val="ListParagraph"/>
        <w:numPr>
          <w:ilvl w:val="0"/>
          <w:numId w:val="4"/>
        </w:numPr>
        <w:spacing w:after="80" w:line="276"/>
      </w:pPr>
      <w:r>
        <w:rPr>
          <w:rFonts w:ascii="Calibri" w:cs="Calibri" w:eastAsia="Calibri" w:hAnsi="Calibri"/>
          <w:sz w:val="22"/>
          <w:szCs w:val="22"/>
        </w:rPr>
        <w:t xml:space="preserve">El sistema detecta que una solicitud ingresó a la bolsa de casos pendientes. FA01, FA02, FA05</w:t>
      </w:r>
    </w:p>
    <w:p>
      <w:pPr>
        <w:pStyle w:val="ListParagraph"/>
        <w:numPr>
          <w:ilvl w:val="0"/>
          <w:numId w:val="4"/>
        </w:numPr>
        <w:spacing w:after="80" w:line="276"/>
      </w:pPr>
      <w:r>
        <w:rPr>
          <w:rFonts w:ascii="Calibri" w:cs="Calibri" w:eastAsia="Calibri" w:hAnsi="Calibri"/>
          <w:sz w:val="22"/>
          <w:szCs w:val="22"/>
        </w:rPr>
        <w:t xml:space="preserve">El sistema obtiene el listado de los técnicos habilitados para recibir casos. RN01</w:t>
      </w:r>
    </w:p>
    <w:p>
      <w:pPr>
        <w:pStyle w:val="ListParagraph"/>
        <w:numPr>
          <w:ilvl w:val="0"/>
          <w:numId w:val="4"/>
        </w:numPr>
        <w:spacing w:after="80" w:line="276"/>
      </w:pPr>
      <w:r>
        <w:rPr>
          <w:rFonts w:ascii="Calibri" w:cs="Calibri" w:eastAsia="Calibri" w:hAnsi="Calibri"/>
          <w:sz w:val="22"/>
          <w:szCs w:val="22"/>
        </w:rPr>
        <w:t xml:space="preserve">El sistema descarta a los técnicos que se encuentren señalados como involucrados en la solicitud. RN02</w:t>
      </w:r>
    </w:p>
    <w:p>
      <w:pPr>
        <w:pStyle w:val="ListParagraph"/>
        <w:numPr>
          <w:ilvl w:val="0"/>
          <w:numId w:val="4"/>
        </w:numPr>
        <w:spacing w:after="80" w:line="276"/>
      </w:pPr>
      <w:r>
        <w:rPr>
          <w:rFonts w:ascii="Calibri" w:cs="Calibri" w:eastAsia="Calibri" w:hAnsi="Calibri"/>
          <w:sz w:val="22"/>
          <w:szCs w:val="22"/>
        </w:rPr>
        <w:t xml:space="preserve">El sistema calcula la puntuación de cada técnico para esa solicitud. RN03</w:t>
      </w:r>
    </w:p>
    <w:p>
      <w:pPr>
        <w:pStyle w:val="ListParagraph"/>
        <w:numPr>
          <w:ilvl w:val="0"/>
          <w:numId w:val="4"/>
        </w:numPr>
        <w:spacing w:after="80" w:line="276"/>
      </w:pPr>
      <w:r>
        <w:rPr>
          <w:rFonts w:ascii="Calibri" w:cs="Calibri" w:eastAsia="Calibri" w:hAnsi="Calibri"/>
          <w:sz w:val="22"/>
          <w:szCs w:val="22"/>
        </w:rPr>
        <w:t xml:space="preserve">El sistema selecciona al técnico que obtuvo la mayor puntuación. FA03</w:t>
      </w:r>
    </w:p>
    <w:p>
      <w:pPr>
        <w:pStyle w:val="ListParagraph"/>
        <w:numPr>
          <w:ilvl w:val="0"/>
          <w:numId w:val="4"/>
        </w:numPr>
        <w:spacing w:after="80" w:line="276"/>
      </w:pPr>
      <w:r>
        <w:rPr>
          <w:rFonts w:ascii="Calibri" w:cs="Calibri" w:eastAsia="Calibri" w:hAnsi="Calibri"/>
          <w:sz w:val="22"/>
          <w:szCs w:val="22"/>
        </w:rPr>
        <w:t xml:space="preserve">El sistema asigna la solicitud al técnico seleccionado y cambia su estado a “Asignado”. RN04</w:t>
      </w:r>
    </w:p>
    <w:p>
      <w:pPr>
        <w:pStyle w:val="ListParagraph"/>
        <w:numPr>
          <w:ilvl w:val="0"/>
          <w:numId w:val="4"/>
        </w:numPr>
        <w:spacing w:after="80" w:line="276"/>
      </w:pPr>
      <w:r>
        <w:rPr>
          <w:rFonts w:ascii="Calibri" w:cs="Calibri" w:eastAsia="Calibri" w:hAnsi="Calibri"/>
          <w:sz w:val="22"/>
          <w:szCs w:val="22"/>
        </w:rPr>
        <w:t xml:space="preserve">El sistema registra el avance correspondiente en el historial de la solicitud. RN05</w:t>
      </w:r>
    </w:p>
    <w:p>
      <w:pPr>
        <w:pStyle w:val="ListParagraph"/>
        <w:numPr>
          <w:ilvl w:val="0"/>
          <w:numId w:val="4"/>
        </w:numPr>
        <w:spacing w:after="80" w:line="276"/>
      </w:pPr>
      <w:r>
        <w:rPr>
          <w:rFonts w:ascii="Calibri" w:cs="Calibri" w:eastAsia="Calibri" w:hAnsi="Calibri"/>
          <w:sz w:val="22"/>
          <w:szCs w:val="22"/>
        </w:rPr>
        <w:t xml:space="preserve">El sistema deja constancia de la asignación y de la puntuación obtenida. RN09</w:t>
      </w:r>
    </w:p>
    <w:p>
      <w:pPr>
        <w:pStyle w:val="ListParagraph"/>
        <w:numPr>
          <w:ilvl w:val="0"/>
          <w:numId w:val="4"/>
        </w:numPr>
        <w:spacing w:after="80" w:line="276"/>
      </w:pPr>
      <w:r>
        <w:rPr>
          <w:rFonts w:ascii="Calibri" w:cs="Calibri" w:eastAsia="Calibri" w:hAnsi="Calibri"/>
          <w:sz w:val="22"/>
          <w:szCs w:val="22"/>
        </w:rPr>
        <w:t xml:space="preserve">El sistema registra la operación en la bitácora. RN06</w:t>
      </w:r>
    </w:p>
    <w:p>
      <w:pPr>
        <w:pStyle w:val="ListParagraph"/>
        <w:numPr>
          <w:ilvl w:val="0"/>
          <w:numId w:val="4"/>
        </w:numPr>
        <w:spacing w:after="80" w:line="276"/>
      </w:pPr>
      <w:r>
        <w:rPr>
          <w:rFonts w:ascii="Calibri" w:cs="Calibri" w:eastAsia="Calibri" w:hAnsi="Calibri"/>
          <w:sz w:val="22"/>
          <w:szCs w:val="22"/>
        </w:rPr>
        <w:t xml:space="preserve">La solicitud queda visible en el listado de casos del técnico asignado.</w:t>
      </w:r>
    </w:p>
    <w:p>
      <w:pPr>
        <w:pStyle w:val="ListParagraph"/>
        <w:numPr>
          <w:ilvl w:val="0"/>
          <w:numId w:val="4"/>
        </w:numPr>
        <w:spacing w:after="80" w:line="276"/>
      </w:pPr>
      <w:r>
        <w:rPr>
          <w:rFonts w:ascii="Calibri" w:cs="Calibri" w:eastAsia="Calibri" w:hAnsi="Calibri"/>
          <w:sz w:val="22"/>
          <w:szCs w:val="22"/>
        </w:rPr>
        <w:t xml:space="preserve">Fin del caso de uso.</w:t>
      </w:r>
    </w:p>
    <w:p>
      <w:pPr>
        <w:pStyle w:val="Heading2"/>
        <w:spacing w:after="120" w:before="220"/>
      </w:pPr>
      <w:r>
        <w:rPr>
          <w:rFonts w:ascii="Calibri" w:cs="Calibri" w:eastAsia="Calibri" w:hAnsi="Calibri"/>
          <w:b/>
          <w:bCs/>
          <w:color w:val="2E74B5"/>
          <w:sz w:val="24"/>
          <w:szCs w:val="24"/>
        </w:rPr>
        <w:t xml:space="preserve">2.4 Flujos Alternos</w:t>
      </w:r>
    </w:p>
    <w:p>
      <w:pPr>
        <w:spacing w:after="100" w:before="160"/>
      </w:pPr>
      <w:r>
        <w:rPr>
          <w:rFonts w:ascii="Calibri" w:cs="Calibri" w:eastAsia="Calibri" w:hAnsi="Calibri"/>
          <w:b/>
          <w:bCs/>
          <w:sz w:val="22"/>
          <w:szCs w:val="22"/>
        </w:rPr>
        <w:t xml:space="preserve">FA01 Un técnico concluye la atención de un caso</w:t>
      </w:r>
    </w:p>
    <w:p>
      <w:pPr>
        <w:pStyle w:val="ListParagraph"/>
        <w:numPr>
          <w:ilvl w:val="0"/>
          <w:numId w:val="5"/>
        </w:numPr>
        <w:spacing w:after="80" w:line="276"/>
      </w:pPr>
      <w:r>
        <w:rPr>
          <w:rFonts w:ascii="Calibri" w:cs="Calibri" w:eastAsia="Calibri" w:hAnsi="Calibri"/>
          <w:sz w:val="22"/>
          <w:szCs w:val="22"/>
        </w:rPr>
        <w:t xml:space="preserve">El sistema detecta que un técnico cerró un caso y que, por lo tanto, dispone de capacidad libre.</w:t>
      </w:r>
    </w:p>
    <w:p>
      <w:pPr>
        <w:pStyle w:val="ListParagraph"/>
        <w:numPr>
          <w:ilvl w:val="0"/>
          <w:numId w:val="5"/>
        </w:numPr>
        <w:spacing w:after="80" w:line="276"/>
      </w:pPr>
      <w:r>
        <w:rPr>
          <w:rFonts w:ascii="Calibri" w:cs="Calibri" w:eastAsia="Calibri" w:hAnsi="Calibri"/>
          <w:sz w:val="22"/>
          <w:szCs w:val="22"/>
        </w:rPr>
        <w:t xml:space="preserve">El sistema toma la solicitud que lleva más tiempo en la bolsa de casos pendientes.</w:t>
      </w:r>
    </w:p>
    <w:p>
      <w:pPr>
        <w:pStyle w:val="ListParagraph"/>
        <w:numPr>
          <w:ilvl w:val="0"/>
          <w:numId w:val="5"/>
        </w:numPr>
        <w:spacing w:after="80" w:line="276"/>
      </w:pPr>
      <w:r>
        <w:rPr>
          <w:rFonts w:ascii="Calibri" w:cs="Calibri" w:eastAsia="Calibri" w:hAnsi="Calibri"/>
          <w:sz w:val="22"/>
          <w:szCs w:val="22"/>
        </w:rPr>
        <w:t xml:space="preserve">El sistema continúa con el paso 2 del flujo normal básico.</w:t>
      </w:r>
    </w:p>
    <w:p>
      <w:pPr>
        <w:spacing w:after="100" w:before="160"/>
      </w:pPr>
      <w:r>
        <w:rPr>
          <w:rFonts w:ascii="Calibri" w:cs="Calibri" w:eastAsia="Calibri" w:hAnsi="Calibri"/>
          <w:b/>
          <w:bCs/>
          <w:sz w:val="22"/>
          <w:szCs w:val="22"/>
        </w:rPr>
        <w:t xml:space="preserve">FA02 Reintento periódico de asignación</w:t>
      </w:r>
    </w:p>
    <w:p>
      <w:pPr>
        <w:pStyle w:val="ListParagraph"/>
        <w:numPr>
          <w:ilvl w:val="0"/>
          <w:numId w:val="6"/>
        </w:numPr>
        <w:spacing w:after="80" w:line="276"/>
      </w:pPr>
      <w:r>
        <w:rPr>
          <w:rFonts w:ascii="Calibri" w:cs="Calibri" w:eastAsia="Calibri" w:hAnsi="Calibri"/>
          <w:sz w:val="22"/>
          <w:szCs w:val="22"/>
        </w:rPr>
        <w:t xml:space="preserve">El sistema revisa periódicamente la bolsa de casos pendientes en busca de solicitudes que no han podido ser asignadas.</w:t>
      </w:r>
    </w:p>
    <w:p>
      <w:pPr>
        <w:pStyle w:val="ListParagraph"/>
        <w:numPr>
          <w:ilvl w:val="0"/>
          <w:numId w:val="6"/>
        </w:numPr>
        <w:spacing w:after="80" w:line="276"/>
      </w:pPr>
      <w:r>
        <w:rPr>
          <w:rFonts w:ascii="Calibri" w:cs="Calibri" w:eastAsia="Calibri" w:hAnsi="Calibri"/>
          <w:sz w:val="22"/>
          <w:szCs w:val="22"/>
        </w:rPr>
        <w:t xml:space="preserve">Por cada solicitud encontrada, el sistema continúa con el paso 2 del flujo normal básico.</w:t>
      </w:r>
    </w:p>
    <w:p>
      <w:pPr>
        <w:pStyle w:val="ListParagraph"/>
        <w:numPr>
          <w:ilvl w:val="0"/>
          <w:numId w:val="6"/>
        </w:numPr>
        <w:spacing w:after="80" w:line="276"/>
      </w:pPr>
      <w:r>
        <w:rPr>
          <w:rFonts w:ascii="Calibri" w:cs="Calibri" w:eastAsia="Calibri" w:hAnsi="Calibri"/>
          <w:sz w:val="22"/>
          <w:szCs w:val="22"/>
        </w:rPr>
        <w:t xml:space="preserve">Este mecanismo garantiza que ninguna solicitud quede indefinidamente sin atender por no haber existido técnicos disponibles al momento de su registro.</w:t>
      </w:r>
    </w:p>
    <w:p>
      <w:pPr>
        <w:spacing w:after="100" w:before="160"/>
      </w:pPr>
      <w:r>
        <w:rPr>
          <w:rFonts w:ascii="Calibri" w:cs="Calibri" w:eastAsia="Calibri" w:hAnsi="Calibri"/>
          <w:b/>
          <w:bCs/>
          <w:sz w:val="22"/>
          <w:szCs w:val="22"/>
        </w:rPr>
        <w:t xml:space="preserve">FA03 No existe ningún técnico en condiciones de recibir la solicitud</w:t>
      </w:r>
    </w:p>
    <w:p>
      <w:pPr>
        <w:pStyle w:val="ListParagraph"/>
        <w:numPr>
          <w:ilvl w:val="0"/>
          <w:numId w:val="7"/>
        </w:numPr>
        <w:spacing w:after="80" w:line="276"/>
      </w:pPr>
      <w:r>
        <w:rPr>
          <w:rFonts w:ascii="Calibri" w:cs="Calibri" w:eastAsia="Calibri" w:hAnsi="Calibri"/>
          <w:sz w:val="22"/>
          <w:szCs w:val="22"/>
        </w:rPr>
        <w:t xml:space="preserve">El sistema determina que todos los técnicos alcanzaron su capacidad máxima, se encuentran no disponibles o están señalados como involucrados en la solicitud.</w:t>
      </w:r>
    </w:p>
    <w:p>
      <w:pPr>
        <w:pStyle w:val="ListParagraph"/>
        <w:numPr>
          <w:ilvl w:val="0"/>
          <w:numId w:val="7"/>
        </w:numPr>
        <w:spacing w:after="80" w:line="276"/>
      </w:pPr>
      <w:r>
        <w:rPr>
          <w:rFonts w:ascii="Calibri" w:cs="Calibri" w:eastAsia="Calibri" w:hAnsi="Calibri"/>
          <w:sz w:val="22"/>
          <w:szCs w:val="22"/>
        </w:rPr>
        <w:t xml:space="preserve">El sistema mantiene la solicitud en la bolsa de casos pendientes, conservando el tiempo que lleva esperando.</w:t>
      </w:r>
    </w:p>
    <w:p>
      <w:pPr>
        <w:pStyle w:val="ListParagraph"/>
        <w:numPr>
          <w:ilvl w:val="0"/>
          <w:numId w:val="7"/>
        </w:numPr>
        <w:spacing w:after="80" w:line="276"/>
      </w:pPr>
      <w:r>
        <w:rPr>
          <w:rFonts w:ascii="Calibri" w:cs="Calibri" w:eastAsia="Calibri" w:hAnsi="Calibri"/>
          <w:sz w:val="22"/>
          <w:szCs w:val="22"/>
        </w:rPr>
        <w:t xml:space="preserve">Si la solicitud permanece sin asignar más allá del tiempo configurado, el sistema la reporta al Supervisor de Soporte. RN07</w:t>
      </w:r>
    </w:p>
    <w:p>
      <w:pPr>
        <w:pStyle w:val="ListParagraph"/>
        <w:numPr>
          <w:ilvl w:val="0"/>
          <w:numId w:val="7"/>
        </w:numPr>
        <w:spacing w:after="80" w:line="276"/>
      </w:pPr>
      <w:r>
        <w:rPr>
          <w:rFonts w:ascii="Calibri" w:cs="Calibri" w:eastAsia="Calibri" w:hAnsi="Calibri"/>
          <w:sz w:val="22"/>
          <w:szCs w:val="22"/>
        </w:rPr>
        <w:t xml:space="preserve">El sistema reintenta la asignación conforme al flujo alterno FA02.</w:t>
      </w:r>
    </w:p>
    <w:p>
      <w:pPr>
        <w:pStyle w:val="ListParagraph"/>
        <w:numPr>
          <w:ilvl w:val="0"/>
          <w:numId w:val="7"/>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FA04 Un técnico deja de estar disponible</w:t>
      </w:r>
    </w:p>
    <w:p>
      <w:pPr>
        <w:pStyle w:val="ListParagraph"/>
        <w:numPr>
          <w:ilvl w:val="0"/>
          <w:numId w:val="8"/>
        </w:numPr>
        <w:spacing w:after="80" w:line="276"/>
      </w:pPr>
      <w:r>
        <w:rPr>
          <w:rFonts w:ascii="Calibri" w:cs="Calibri" w:eastAsia="Calibri" w:hAnsi="Calibri"/>
          <w:sz w:val="22"/>
          <w:szCs w:val="22"/>
        </w:rPr>
        <w:t xml:space="preserve">El sistema detecta que un técnico fue marcado como no disponible.</w:t>
      </w:r>
    </w:p>
    <w:p>
      <w:pPr>
        <w:pStyle w:val="ListParagraph"/>
        <w:numPr>
          <w:ilvl w:val="0"/>
          <w:numId w:val="8"/>
        </w:numPr>
        <w:spacing w:after="80" w:line="276"/>
      </w:pPr>
      <w:r>
        <w:rPr>
          <w:rFonts w:ascii="Calibri" w:cs="Calibri" w:eastAsia="Calibri" w:hAnsi="Calibri"/>
          <w:sz w:val="22"/>
          <w:szCs w:val="22"/>
        </w:rPr>
        <w:t xml:space="preserve">El sistema retorna a la bolsa de casos pendientes las solicitudes que el técnico tenía asignadas y que aún no han sido resueltas. RN08</w:t>
      </w:r>
    </w:p>
    <w:p>
      <w:pPr>
        <w:pStyle w:val="ListParagraph"/>
        <w:numPr>
          <w:ilvl w:val="0"/>
          <w:numId w:val="8"/>
        </w:numPr>
        <w:spacing w:after="80" w:line="276"/>
      </w:pPr>
      <w:r>
        <w:rPr>
          <w:rFonts w:ascii="Calibri" w:cs="Calibri" w:eastAsia="Calibri" w:hAnsi="Calibri"/>
          <w:sz w:val="22"/>
          <w:szCs w:val="22"/>
        </w:rPr>
        <w:t xml:space="preserve">El sistema conserva íntegro el historial de avances registrado hasta ese momento, de manera que el nuevo técnico disponga de todos los antecedentes del caso.</w:t>
      </w:r>
    </w:p>
    <w:p>
      <w:pPr>
        <w:pStyle w:val="ListParagraph"/>
        <w:numPr>
          <w:ilvl w:val="0"/>
          <w:numId w:val="8"/>
        </w:numPr>
        <w:spacing w:after="80" w:line="276"/>
      </w:pPr>
      <w:r>
        <w:rPr>
          <w:rFonts w:ascii="Calibri" w:cs="Calibri" w:eastAsia="Calibri" w:hAnsi="Calibri"/>
          <w:sz w:val="22"/>
          <w:szCs w:val="22"/>
        </w:rPr>
        <w:t xml:space="preserve">El sistema continúa con el paso 2 del flujo normal básico por cada solicitud retornada.</w:t>
      </w:r>
    </w:p>
    <w:p>
      <w:pPr>
        <w:pStyle w:val="ListParagraph"/>
        <w:numPr>
          <w:ilvl w:val="0"/>
          <w:numId w:val="8"/>
        </w:numPr>
        <w:spacing w:after="80" w:line="276"/>
      </w:pPr>
      <w:r>
        <w:rPr>
          <w:rFonts w:ascii="Calibri" w:cs="Calibri" w:eastAsia="Calibri" w:hAnsi="Calibri"/>
          <w:sz w:val="22"/>
          <w:szCs w:val="22"/>
        </w:rPr>
        <w:t xml:space="preserve">Fin del flujo alterno.</w:t>
      </w:r>
    </w:p>
    <w:p>
      <w:pPr>
        <w:spacing w:after="100" w:before="160"/>
      </w:pPr>
      <w:r>
        <w:rPr>
          <w:rFonts w:ascii="Calibri" w:cs="Calibri" w:eastAsia="Calibri" w:hAnsi="Calibri"/>
          <w:b/>
          <w:bCs/>
          <w:sz w:val="22"/>
          <w:szCs w:val="22"/>
        </w:rPr>
        <w:t xml:space="preserve">FA05 La solicitud no corresponde a la bolsa de casos pendientes</w:t>
      </w:r>
    </w:p>
    <w:p>
      <w:pPr>
        <w:pStyle w:val="ListParagraph"/>
        <w:numPr>
          <w:ilvl w:val="0"/>
          <w:numId w:val="9"/>
        </w:numPr>
        <w:spacing w:after="80" w:line="276"/>
      </w:pPr>
      <w:r>
        <w:rPr>
          <w:rFonts w:ascii="Calibri" w:cs="Calibri" w:eastAsia="Calibri" w:hAnsi="Calibri"/>
          <w:sz w:val="22"/>
          <w:szCs w:val="22"/>
        </w:rPr>
        <w:t xml:space="preserve">El sistema verifica el tipo de la solicitud registrada.</w:t>
      </w:r>
    </w:p>
    <w:p>
      <w:pPr>
        <w:pStyle w:val="ListParagraph"/>
        <w:numPr>
          <w:ilvl w:val="0"/>
          <w:numId w:val="9"/>
        </w:numPr>
        <w:spacing w:after="80" w:line="276"/>
      </w:pPr>
      <w:r>
        <w:rPr>
          <w:rFonts w:ascii="Calibri" w:cs="Calibri" w:eastAsia="Calibri" w:hAnsi="Calibri"/>
          <w:sz w:val="22"/>
          <w:szCs w:val="22"/>
        </w:rPr>
        <w:t xml:space="preserve">Si se trata de una denuncia o de una sugerencia, el sistema no ejecuta la asignación, por cuanto dichas solicitudes son canalizadas al Supervisor de Soporte. (Ver caso de uso “Registro de Solicitud”).</w:t>
      </w:r>
    </w:p>
    <w:p>
      <w:pPr>
        <w:pStyle w:val="ListParagraph"/>
        <w:numPr>
          <w:ilvl w:val="0"/>
          <w:numId w:val="9"/>
        </w:numPr>
        <w:spacing w:after="80" w:line="276"/>
      </w:pPr>
      <w:r>
        <w:rPr>
          <w:rFonts w:ascii="Calibri" w:cs="Calibri" w:eastAsia="Calibri" w:hAnsi="Calibri"/>
          <w:sz w:val="22"/>
          <w:szCs w:val="22"/>
        </w:rPr>
        <w:t xml:space="preserve">Fin del flujo alterno.</w:t>
      </w:r>
    </w:p>
    <w:p>
      <w:pPr>
        <w:pStyle w:val="Heading2"/>
        <w:spacing w:after="120" w:before="220"/>
      </w:pPr>
      <w:r>
        <w:rPr>
          <w:rFonts w:ascii="Calibri" w:cs="Calibri" w:eastAsia="Calibri" w:hAnsi="Calibri"/>
          <w:b/>
          <w:bCs/>
          <w:color w:val="2E74B5"/>
          <w:sz w:val="24"/>
          <w:szCs w:val="24"/>
        </w:rPr>
        <w:t xml:space="preserve">2.5 Reglas de Negocio</w:t>
      </w:r>
    </w:p>
    <w:p>
      <w:pPr>
        <w:spacing w:after="100" w:before="160"/>
      </w:pPr>
      <w:r>
        <w:rPr>
          <w:rFonts w:ascii="Calibri" w:cs="Calibri" w:eastAsia="Calibri" w:hAnsi="Calibri"/>
          <w:b/>
          <w:bCs/>
          <w:sz w:val="22"/>
          <w:szCs w:val="22"/>
        </w:rPr>
        <w:t xml:space="preserve">RN01 Técnicos habilitados</w:t>
      </w:r>
    </w:p>
    <w:p>
      <w:pPr>
        <w:spacing w:after="120" w:line="276"/>
      </w:pPr>
      <w:r>
        <w:rPr>
          <w:rFonts w:ascii="Calibri" w:cs="Calibri" w:eastAsia="Calibri" w:hAnsi="Calibri"/>
          <w:sz w:val="22"/>
          <w:szCs w:val="22"/>
        </w:rPr>
        <w:t xml:space="preserve">Únicamente puede recibir solicitudes el técnico que se encuentre activo en el sistema, marcado como disponible y que no haya alcanzado su capacidad máxima de casos abiertos.</w:t>
      </w:r>
    </w:p>
    <w:p>
      <w:pPr>
        <w:spacing w:after="100" w:before="160"/>
      </w:pPr>
      <w:r>
        <w:rPr>
          <w:rFonts w:ascii="Calibri" w:cs="Calibri" w:eastAsia="Calibri" w:hAnsi="Calibri"/>
          <w:b/>
          <w:bCs/>
          <w:sz w:val="22"/>
          <w:szCs w:val="22"/>
        </w:rPr>
        <w:t xml:space="preserve">RN02 Conflicto de interés</w:t>
      </w:r>
    </w:p>
    <w:p>
      <w:pPr>
        <w:spacing w:after="120" w:line="276"/>
      </w:pPr>
      <w:r>
        <w:rPr>
          <w:rFonts w:ascii="Calibri" w:cs="Calibri" w:eastAsia="Calibri" w:hAnsi="Calibri"/>
          <w:sz w:val="22"/>
          <w:szCs w:val="22"/>
        </w:rPr>
        <w:t xml:space="preserve">El sistema excluye de la asignación a todo técnico que figure como involucrado en la solicitud. Ningún técnico puede recibir ni visualizar un caso en el que se encuentra señalado, con lo cual se garantiza la imparcialidad en la atención.</w:t>
      </w:r>
    </w:p>
    <w:p>
      <w:pPr>
        <w:spacing w:after="100" w:before="160"/>
      </w:pPr>
      <w:r>
        <w:rPr>
          <w:rFonts w:ascii="Calibri" w:cs="Calibri" w:eastAsia="Calibri" w:hAnsi="Calibri"/>
          <w:b/>
          <w:bCs/>
          <w:sz w:val="22"/>
          <w:szCs w:val="22"/>
        </w:rPr>
        <w:t xml:space="preserve">RN03 Criterios de distribución</w:t>
      </w:r>
    </w:p>
    <w:p>
      <w:pPr>
        <w:spacing w:after="120" w:line="276"/>
      </w:pPr>
      <w:r>
        <w:rPr>
          <w:rFonts w:ascii="Calibri" w:cs="Calibri" w:eastAsia="Calibri" w:hAnsi="Calibri"/>
          <w:sz w:val="22"/>
          <w:szCs w:val="22"/>
        </w:rPr>
        <w:t xml:space="preserve">Para cada solicitud pendiente, el sistema calcula la puntuación de cada técnico habilitado y le entrega la solicitud a quien obtenga el mayor resultado. La puntuación considera los siguientes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60"/>
        <w:gridCol w:w="2300"/>
      </w:tblGrid>
      <w:tr>
        <w:trPr>
          <w:tblHeader/>
        </w:trPr>
        <w:tc>
          <w:tcPr>
            <w:tcW w:type="dxa" w:w="24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Criterio</w:t>
            </w:r>
          </w:p>
        </w:tc>
        <w:tc>
          <w:tcPr>
            <w:tcW w:type="dxa" w:w="46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Qué mide</w:t>
            </w:r>
          </w:p>
        </w:tc>
        <w:tc>
          <w:tcPr>
            <w:tcW w:type="dxa" w:w="23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Efecto</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Prioridad</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Nivel de prioridad asignado a la solicitud.</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Suma</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Tiempo de espera</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Horas que la solicitud lleva esperando ser atendida.</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Suma</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Cercanía al vencimiento</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Proximidad de la solicitud a su tiempo máximo de atención.</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Suma</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Especialidad</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Coincidencia entre el servicio de la solicitud y la especialidad del técnico.</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Suma</w:t>
            </w:r>
          </w:p>
        </w:tc>
      </w:tr>
      <w:tr>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Carga de trabajo</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Cantidad de casos abiertos que el técnico tiene en ese momento.</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Resta</w:t>
            </w:r>
          </w:p>
        </w:tc>
      </w:tr>
    </w:tbl>
    <w:p>
      <w:pPr>
        <w:spacing w:after="120"/>
      </w:pPr>
      <w:r>
        <w:rPr>
          <w:rFonts w:ascii="Calibri" w:cs="Calibri" w:eastAsia="Calibri" w:hAnsi="Calibri"/>
        </w:rPr>
        <w:t xml:space="preserve"/>
      </w:r>
    </w:p>
    <w:p>
      <w:pPr>
        <w:pStyle w:val="ListParagraph"/>
        <w:numPr>
          <w:ilvl w:val="0"/>
          <w:numId w:val="10"/>
        </w:numPr>
        <w:spacing w:after="80" w:line="276"/>
      </w:pPr>
      <w:r>
        <w:rPr>
          <w:rFonts w:ascii="Calibri" w:cs="Calibri" w:eastAsia="Calibri" w:hAnsi="Calibri"/>
          <w:sz w:val="22"/>
          <w:szCs w:val="22"/>
        </w:rPr>
        <w:t xml:space="preserve">El peso de cada criterio es configurable por el Administrador del Sistema, de manera que la distribución pueda ajustarse a las necesidades de la operación sin modificar el sistema.</w:t>
      </w:r>
    </w:p>
    <w:p>
      <w:pPr>
        <w:pStyle w:val="ListParagraph"/>
        <w:numPr>
          <w:ilvl w:val="0"/>
          <w:numId w:val="10"/>
        </w:numPr>
        <w:spacing w:after="80" w:line="276"/>
      </w:pPr>
      <w:r>
        <w:rPr>
          <w:rFonts w:ascii="Calibri" w:cs="Calibri" w:eastAsia="Calibri" w:hAnsi="Calibri"/>
          <w:sz w:val="22"/>
          <w:szCs w:val="22"/>
        </w:rPr>
        <w:t xml:space="preserve">La coincidencia de especialidad constituye una preferencia y no un requisito: un técnico sin la especialidad del servicio puede recibir la solicitud cuando ningún especialista se encuentre disponible.</w:t>
      </w:r>
    </w:p>
    <w:p>
      <w:pPr>
        <w:pStyle w:val="ListParagraph"/>
        <w:numPr>
          <w:ilvl w:val="0"/>
          <w:numId w:val="10"/>
        </w:numPr>
        <w:spacing w:after="80" w:line="276"/>
      </w:pPr>
      <w:r>
        <w:rPr>
          <w:rFonts w:ascii="Calibri" w:cs="Calibri" w:eastAsia="Calibri" w:hAnsi="Calibri"/>
          <w:sz w:val="22"/>
          <w:szCs w:val="22"/>
        </w:rPr>
        <w:t xml:space="preserve">El tiempo de espera se computa desde el registro de la solicitud, con el objeto de que ninguna solicitud de baja prioridad quede postergada indefinidamente.</w:t>
      </w:r>
    </w:p>
    <w:p>
      <w:pPr>
        <w:spacing w:after="100" w:before="160"/>
      </w:pPr>
      <w:r>
        <w:rPr>
          <w:rFonts w:ascii="Calibri" w:cs="Calibri" w:eastAsia="Calibri" w:hAnsi="Calibri"/>
          <w:b/>
          <w:bCs/>
          <w:sz w:val="22"/>
          <w:szCs w:val="22"/>
        </w:rPr>
        <w:t xml:space="preserve">RN04 Capacidad máxima</w:t>
      </w:r>
    </w:p>
    <w:p>
      <w:pPr>
        <w:spacing w:after="120" w:line="276"/>
      </w:pPr>
      <w:r>
        <w:rPr>
          <w:rFonts w:ascii="Calibri" w:cs="Calibri" w:eastAsia="Calibri" w:hAnsi="Calibri"/>
          <w:sz w:val="22"/>
          <w:szCs w:val="22"/>
        </w:rPr>
        <w:t xml:space="preserve">Ningún técnico puede tener asignados simultáneamente más casos abiertos que su capacidad máxima configurada. Alcanzado ese número, el sistema deja de asignarle solicitudes hasta que concluya alguno de los casos que tiene en atención.</w:t>
      </w:r>
    </w:p>
    <w:p>
      <w:pPr>
        <w:spacing w:after="100" w:before="160"/>
      </w:pPr>
      <w:r>
        <w:rPr>
          <w:rFonts w:ascii="Calibri" w:cs="Calibri" w:eastAsia="Calibri" w:hAnsi="Calibri"/>
          <w:b/>
          <w:bCs/>
          <w:sz w:val="22"/>
          <w:szCs w:val="22"/>
        </w:rPr>
        <w:t xml:space="preserve">RN05 Constancia de la asignación</w:t>
      </w:r>
    </w:p>
    <w:p>
      <w:pPr>
        <w:spacing w:after="120" w:line="276"/>
      </w:pPr>
      <w:r>
        <w:rPr>
          <w:rFonts w:ascii="Calibri" w:cs="Calibri" w:eastAsia="Calibri" w:hAnsi="Calibri"/>
          <w:sz w:val="22"/>
          <w:szCs w:val="22"/>
        </w:rPr>
        <w:t xml:space="preserve">Al asignar una solicitud, el sistema incorpora al historial del caso el avance “Caso asignado por el sistema para su atención”, con la fecha y hora correspondientes.</w:t>
      </w:r>
    </w:p>
    <w:p>
      <w:pPr>
        <w:spacing w:after="100" w:before="160"/>
      </w:pPr>
      <w:r>
        <w:rPr>
          <w:rFonts w:ascii="Calibri" w:cs="Calibri" w:eastAsia="Calibri" w:hAnsi="Calibri"/>
          <w:b/>
          <w:bCs/>
          <w:sz w:val="22"/>
          <w:szCs w:val="22"/>
        </w:rPr>
        <w:t xml:space="preserve">RN06 Registro en bitácora</w:t>
      </w:r>
    </w:p>
    <w:p>
      <w:pPr>
        <w:spacing w:after="120" w:line="276"/>
      </w:pPr>
      <w:r>
        <w:rPr>
          <w:rFonts w:ascii="Calibri" w:cs="Calibri" w:eastAsia="Calibri" w:hAnsi="Calibri"/>
          <w:sz w:val="22"/>
          <w:szCs w:val="22"/>
        </w:rPr>
        <w:t xml:space="preserve">Toda asignación, reasignación y retorno de una solicitud a la bolsa de casos pendientes queda asentado en la bitácora del sistema, indicando la solicitud, el técnico, la fecha y la hora. Este registro no puede ser modificado ni eliminado.</w:t>
      </w:r>
    </w:p>
    <w:p>
      <w:pPr>
        <w:spacing w:after="100" w:before="160"/>
      </w:pPr>
      <w:r>
        <w:rPr>
          <w:rFonts w:ascii="Calibri" w:cs="Calibri" w:eastAsia="Calibri" w:hAnsi="Calibri"/>
          <w:b/>
          <w:bCs/>
          <w:sz w:val="22"/>
          <w:szCs w:val="22"/>
        </w:rPr>
        <w:t xml:space="preserve">RN07 Reporte de solicitudes sin asignar</w:t>
      </w:r>
    </w:p>
    <w:p>
      <w:pPr>
        <w:pStyle w:val="ListParagraph"/>
        <w:numPr>
          <w:ilvl w:val="0"/>
          <w:numId w:val="11"/>
        </w:numPr>
        <w:spacing w:after="80" w:line="276"/>
      </w:pPr>
      <w:r>
        <w:rPr>
          <w:rFonts w:ascii="Calibri" w:cs="Calibri" w:eastAsia="Calibri" w:hAnsi="Calibri"/>
          <w:sz w:val="22"/>
          <w:szCs w:val="22"/>
        </w:rPr>
        <w:t xml:space="preserve">Cuando una solicitud permanece en la bolsa de casos pendientes más allá del tiempo configurado, el sistema la reporta en el listado de solicitudes sin asignar del Supervisor de Soporte.</w:t>
      </w:r>
    </w:p>
    <w:p>
      <w:pPr>
        <w:pStyle w:val="ListParagraph"/>
        <w:numPr>
          <w:ilvl w:val="0"/>
          <w:numId w:val="11"/>
        </w:numPr>
        <w:spacing w:after="80" w:line="276"/>
      </w:pPr>
      <w:r>
        <w:rPr>
          <w:rFonts w:ascii="Calibri" w:cs="Calibri" w:eastAsia="Calibri" w:hAnsi="Calibri"/>
          <w:sz w:val="22"/>
          <w:szCs w:val="22"/>
        </w:rPr>
        <w:t xml:space="preserve">El tiempo a partir del cual se genera el reporte es configurable por el Administrador del Sistema.</w:t>
      </w:r>
    </w:p>
    <w:p>
      <w:pPr>
        <w:pStyle w:val="ListParagraph"/>
        <w:numPr>
          <w:ilvl w:val="0"/>
          <w:numId w:val="11"/>
        </w:numPr>
        <w:spacing w:after="80" w:line="276"/>
      </w:pPr>
      <w:r>
        <w:rPr>
          <w:rFonts w:ascii="Calibri" w:cs="Calibri" w:eastAsia="Calibri" w:hAnsi="Calibri"/>
          <w:sz w:val="22"/>
          <w:szCs w:val="22"/>
        </w:rPr>
        <w:t xml:space="preserve">El reporte no interrumpe la asignación automática: si un técnico se libera, el sistema asigna la solicitud sin necesidad de intervención del supervisor.</w:t>
      </w:r>
    </w:p>
    <w:p>
      <w:pPr>
        <w:spacing w:after="100" w:before="160"/>
      </w:pPr>
      <w:r>
        <w:rPr>
          <w:rFonts w:ascii="Calibri" w:cs="Calibri" w:eastAsia="Calibri" w:hAnsi="Calibri"/>
          <w:b/>
          <w:bCs/>
          <w:sz w:val="22"/>
          <w:szCs w:val="22"/>
        </w:rPr>
        <w:t xml:space="preserve">RN08 Redistribución de casos</w:t>
      </w:r>
    </w:p>
    <w:p>
      <w:pPr>
        <w:pStyle w:val="ListParagraph"/>
        <w:numPr>
          <w:ilvl w:val="0"/>
          <w:numId w:val="12"/>
        </w:numPr>
        <w:spacing w:after="80" w:line="276"/>
      </w:pPr>
      <w:r>
        <w:rPr>
          <w:rFonts w:ascii="Calibri" w:cs="Calibri" w:eastAsia="Calibri" w:hAnsi="Calibri"/>
          <w:sz w:val="22"/>
          <w:szCs w:val="22"/>
        </w:rPr>
        <w:t xml:space="preserve">Las solicitudes asignadas a un técnico que deja de estar disponible retornan a la bolsa de casos pendientes para ser distribuidas nuevamente.</w:t>
      </w:r>
    </w:p>
    <w:p>
      <w:pPr>
        <w:pStyle w:val="ListParagraph"/>
        <w:numPr>
          <w:ilvl w:val="0"/>
          <w:numId w:val="12"/>
        </w:numPr>
        <w:spacing w:after="80" w:line="276"/>
      </w:pPr>
      <w:r>
        <w:rPr>
          <w:rFonts w:ascii="Calibri" w:cs="Calibri" w:eastAsia="Calibri" w:hAnsi="Calibri"/>
          <w:sz w:val="22"/>
          <w:szCs w:val="22"/>
        </w:rPr>
        <w:t xml:space="preserve">No retornan a la bolsa las solicitudes que ya fueron resueltas o cerradas.</w:t>
      </w:r>
    </w:p>
    <w:p>
      <w:pPr>
        <w:pStyle w:val="ListParagraph"/>
        <w:numPr>
          <w:ilvl w:val="0"/>
          <w:numId w:val="12"/>
        </w:numPr>
        <w:spacing w:after="80" w:line="276"/>
      </w:pPr>
      <w:r>
        <w:rPr>
          <w:rFonts w:ascii="Calibri" w:cs="Calibri" w:eastAsia="Calibri" w:hAnsi="Calibri"/>
          <w:sz w:val="22"/>
          <w:szCs w:val="22"/>
        </w:rPr>
        <w:t xml:space="preserve">La solicitud conserva su historial de avances y el tiempo transcurrido desde su registro, de manera que no pierda la antigüedad ganada en la espera.</w:t>
      </w:r>
    </w:p>
    <w:p>
      <w:pPr>
        <w:spacing w:after="100" w:before="160"/>
      </w:pPr>
      <w:r>
        <w:rPr>
          <w:rFonts w:ascii="Calibri" w:cs="Calibri" w:eastAsia="Calibri" w:hAnsi="Calibri"/>
          <w:b/>
          <w:bCs/>
          <w:sz w:val="22"/>
          <w:szCs w:val="22"/>
        </w:rPr>
        <w:t xml:space="preserve">RN09 Trazabilidad de la distribución</w:t>
      </w:r>
    </w:p>
    <w:p>
      <w:pPr>
        <w:spacing w:after="120" w:line="276"/>
      </w:pPr>
      <w:r>
        <w:rPr>
          <w:rFonts w:ascii="Calibri" w:cs="Calibri" w:eastAsia="Calibri" w:hAnsi="Calibri"/>
          <w:sz w:val="22"/>
          <w:szCs w:val="22"/>
        </w:rPr>
        <w:t xml:space="preserve">El sistema conserva, por cada asignación realizada, la puntuación que la originó, de forma que en todo momento pueda acreditarse por qué una solicitud determinada fue entregada a un técnico y no a otro.</w:t>
      </w:r>
    </w:p>
    <w:p>
      <w:pPr>
        <w:pStyle w:val="Heading1"/>
        <w:spacing w:after="160" w:before="280"/>
      </w:pPr>
      <w:r>
        <w:rPr>
          <w:rFonts w:ascii="Calibri" w:cs="Calibri" w:eastAsia="Calibri" w:hAnsi="Calibri"/>
          <w:b/>
          <w:bCs/>
          <w:color w:val="2E74B5"/>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360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Puesto / Sector</w:t>
            </w:r>
          </w:p>
        </w:tc>
        <w:tc>
          <w:tcPr>
            <w:tcW w:type="dxa" w:w="2160"/>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Firma</w:t>
            </w:r>
          </w:p>
        </w:tc>
      </w:tr>
      <w:tr>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36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160"/>
            <w:tcMar>
              <w:top w:type="dxa" w:w="60"/>
              <w:left w:type="dxa" w:w="100"/>
              <w:bottom w:type="dxa" w:w="60"/>
              <w:right w:type="dxa" w:w="100"/>
            </w:tcMar>
          </w:tcPr>
          <w:p>
            <w:pPr>
              <w:spacing w:after="0"/>
            </w:pPr>
            <w:r>
              <w:rPr>
                <w:rFonts w:ascii="Calibri" w:cs="Calibri" w:eastAsia="Calibri" w:hAnsi="Calibri"/>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360"/>
      </w:pPr>
    </w:lvl>
  </w:abstractNum>
  <w:abstractNum w:abstractNumId="3" w15:restartNumberingAfterBreak="0">
    <w:multiLevelType w:val="hybridMultilevel"/>
    <w:lvl w:ilvl="0" w15:tentative="1">
      <w:start w:val="1"/>
      <w:numFmt w:val="decimal"/>
      <w:lvlText w:val="%1."/>
      <w:lvlJc w:val="start"/>
      <w:pPr>
        <w:ind w:left="648" w:hanging="360"/>
      </w:pPr>
    </w:lvl>
  </w:abstractNum>
  <w:abstractNum w:abstractNumId="4" w15:restartNumberingAfterBreak="0">
    <w:multiLevelType w:val="hybridMultilevel"/>
    <w:lvl w:ilvl="0" w15:tentative="1">
      <w:start w:val="1"/>
      <w:numFmt w:val="decimal"/>
      <w:lvlText w:val="%1."/>
      <w:lvlJc w:val="start"/>
      <w:pPr>
        <w:ind w:left="648" w:hanging="360"/>
      </w:pPr>
    </w:lvl>
  </w:abstractNum>
  <w:abstractNum w:abstractNumId="5" w15:restartNumberingAfterBreak="0">
    <w:multiLevelType w:val="hybridMultilevel"/>
    <w:lvl w:ilvl="0" w15:tentative="1">
      <w:start w:val="1"/>
      <w:numFmt w:val="decimal"/>
      <w:lvlText w:val="%1."/>
      <w:lvlJc w:val="start"/>
      <w:pPr>
        <w:ind w:left="648" w:hanging="360"/>
      </w:pPr>
    </w:lvl>
  </w:abstractNum>
  <w:abstractNum w:abstractNumId="6" w15:restartNumberingAfterBreak="0">
    <w:multiLevelType w:val="hybridMultilevel"/>
    <w:lvl w:ilvl="0" w15:tentative="1">
      <w:start w:val="1"/>
      <w:numFmt w:val="decimal"/>
      <w:lvlText w:val="%1."/>
      <w:lvlJc w:val="start"/>
      <w:pPr>
        <w:ind w:left="648" w:hanging="360"/>
      </w:pPr>
    </w:lvl>
  </w:abstractNum>
  <w:abstractNum w:abstractNumId="7" w15:restartNumberingAfterBreak="0">
    <w:multiLevelType w:val="hybridMultilevel"/>
    <w:lvl w:ilvl="0" w15:tentative="1">
      <w:start w:val="1"/>
      <w:numFmt w:val="decimal"/>
      <w:lvlText w:val="%1."/>
      <w:lvlJc w:val="start"/>
      <w:pPr>
        <w:ind w:left="648" w:hanging="360"/>
      </w:pPr>
    </w:lvl>
  </w:abstractNum>
  <w:abstractNum w:abstractNumId="8" w15:restartNumberingAfterBreak="0">
    <w:multiLevelType w:val="hybridMultilevel"/>
    <w:lvl w:ilvl="0" w15:tentative="1">
      <w:start w:val="1"/>
      <w:numFmt w:val="decimal"/>
      <w:lvlText w:val="%1."/>
      <w:lvlJc w:val="start"/>
      <w:pPr>
        <w:ind w:left="648" w:hanging="360"/>
      </w:pPr>
    </w:lvl>
  </w:abstractNum>
  <w:abstractNum w:abstractNumId="9" w15:restartNumberingAfterBreak="0">
    <w:multiLevelType w:val="hybridMultilevel"/>
    <w:lvl w:ilvl="0" w15:tentative="1">
      <w:start w:val="1"/>
      <w:numFmt w:val="decimal"/>
      <w:lvlText w:val="%1."/>
      <w:lvlJc w:val="start"/>
      <w:pPr>
        <w:ind w:left="648" w:hanging="360"/>
      </w:pPr>
    </w:lvl>
  </w:abstractNum>
  <w:abstractNum w:abstractNumId="10" w15:restartNumberingAfterBreak="0">
    <w:multiLevelType w:val="hybridMultilevel"/>
    <w:lvl w:ilvl="0" w15:tentative="1">
      <w:start w:val="1"/>
      <w:numFmt w:val="decimal"/>
      <w:lvlText w:val="%1."/>
      <w:lvlJc w:val="start"/>
      <w:pPr>
        <w:ind w:left="648" w:hanging="360"/>
      </w:pPr>
    </w:lvl>
  </w:abstractNum>
  <w:abstractNum w:abstractNumId="11" w15:restartNumberingAfterBreak="0">
    <w:multiLevelType w:val="hybridMultilevel"/>
    <w:lvl w:ilvl="0" w15:tentative="1">
      <w:start w:val="1"/>
      <w:numFmt w:val="decimal"/>
      <w:lvlText w:val="%1."/>
      <w:lvlJc w:val="start"/>
      <w:pPr>
        <w:ind w:left="648" w:hanging="360"/>
      </w:pPr>
    </w:lvl>
  </w:abstractNum>
  <w:abstractNum w:abstractNumId="12" w15:restartNumberingAfterBreak="0">
    <w:multiLevelType w:val="hybridMultilevel"/>
    <w:lvl w:ilvl="0" w15:tentative="1">
      <w:start w:val="1"/>
      <w:numFmt w:val="decimal"/>
      <w:lvlText w:val="%1."/>
      <w:lvlJc w:val="start"/>
      <w:pPr>
        <w:ind w:left="648" w:hanging="360"/>
      </w:pPr>
    </w:lvl>
  </w:abstractNum>
  <w:abstractNum w:abstractNumId="13" w15:restartNumberingAfterBreak="0">
    <w:multiLevelType w:val="hybridMultilevel"/>
    <w:lvl w:ilvl="0" w15:tentative="1">
      <w:start w:val="1"/>
      <w:numFmt w:val="decimal"/>
      <w:lvlText w:val="%1."/>
      <w:lvlJc w:val="start"/>
      <w:pPr>
        <w:ind w:left="64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2026-08-27T01:54:40.326Z</dcterms:created>
  <dcterms:modified xsi:type="dcterms:W3CDTF">2026-08-27T01:54:40.340Z</dcterms:modified>
</cp:coreProperties>
</file>

<file path=docProps/custom.xml><?xml version="1.0" encoding="utf-8"?>
<Properties xmlns="http://schemas.openxmlformats.org/officeDocument/2006/custom-properties" xmlns:vt="http://schemas.openxmlformats.org/officeDocument/2006/docPropsVTypes"/>
</file>