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40"/>
          <w:szCs w:val="40"/>
        </w:rPr>
        <w:t xml:space="preserve">Caso de Uso</w:t>
      </w:r>
    </w:p>
    <w:p>
      <w:pPr>
        <w:spacing w:after="240"/>
        <w:jc w:val="center"/>
      </w:pPr>
      <w:r>
        <w:rPr>
          <w:rFonts w:ascii="Calibri" w:cs="Calibri" w:eastAsia="Calibri" w:hAnsi="Calibri"/>
          <w:b/>
          <w:bCs/>
          <w:sz w:val="26"/>
          <w:szCs w:val="26"/>
        </w:rPr>
        <w:t xml:space="preserve">Sistema de Gestión de Quejas, Reclamos, Denuncias y Sugerencias de Soporte Técnico</w:t>
      </w:r>
    </w:p>
    <w:p>
      <w:pPr>
        <w:spacing w:after="320"/>
        <w:jc w:val="center"/>
      </w:pPr>
      <w:r>
        <w:rPr>
          <w:rFonts w:ascii="Calibri" w:cs="Calibri" w:eastAsia="Calibri" w:hAnsi="Calibri"/>
          <w:b/>
          <w:bCs/>
          <w:sz w:val="32"/>
          <w:szCs w:val="32"/>
        </w:rPr>
        <w:t xml:space="preserve">Atención de la Solicitud</w:t>
      </w:r>
    </w:p>
    <w:p>
      <w:pPr>
        <w:spacing w:after="120"/>
        <w:jc w:val="center"/>
      </w:pPr>
      <w:r>
        <w:rPr>
          <w:rFonts w:ascii="Calibri" w:cs="Calibri" w:eastAsia="Calibri" w:hAnsi="Calibri"/>
          <w:sz w:val="22"/>
          <w:szCs w:val="22"/>
        </w:rPr>
        <w:t xml:space="preserve">Versión 1.0</w:t>
      </w:r>
    </w:p>
    <w:p>
      <w:pPr>
        <w:spacing w:after="120"/>
        <w:jc w:val="center"/>
      </w:pPr>
      <w:r>
        <w:rPr>
          <w:rFonts w:ascii="Calibri" w:cs="Calibri" w:eastAsia="Calibri" w:hAnsi="Calibri"/>
          <w:sz w:val="22"/>
          <w:szCs w:val="22"/>
        </w:rPr>
        <w:t xml:space="preserve">Elaborado por</w:t>
      </w:r>
    </w:p>
    <w:p>
      <w:pPr>
        <w:spacing w:after="400"/>
        <w:jc w:val="center"/>
      </w:pPr>
      <w:r>
        <w:rPr>
          <w:rFonts w:ascii="Calibri" w:cs="Calibri" w:eastAsia="Calibri" w:hAnsi="Calibri"/>
          <w:sz w:val="22"/>
          <w:szCs w:val="22"/>
        </w:rPr>
        <w:t xml:space="preserve">Fecha Elaboración</w:t>
      </w:r>
    </w:p>
    <w:p>
      <w:pPr>
        <w:spacing w:after="160"/>
      </w:pPr>
      <w:r>
        <w:rPr>
          <w:rFonts w:ascii="Calibri" w:cs="Calibri" w:eastAsia="Calibri" w:hAnsi="Calibri"/>
          <w:b/>
          <w:bCs/>
          <w:sz w:val="24"/>
          <w:szCs w:val="24"/>
        </w:rPr>
        <w:t xml:space="preserve">Historial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000"/>
        <w:gridCol w:w="1560"/>
      </w:tblGrid>
      <w:tr>
        <w:trPr>
          <w:tblHeader/>
        </w:trPr>
        <w:tc>
          <w:tcPr>
            <w:tcW w:type="dxa" w:w="22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1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Fecha</w:t>
            </w:r>
          </w:p>
        </w:tc>
        <w:tc>
          <w:tcPr>
            <w:tcW w:type="dxa" w:w="40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Descripción del Cambio</w:t>
            </w:r>
          </w:p>
        </w:tc>
        <w:tc>
          <w:tcPr>
            <w:tcW w:type="dxa" w:w="15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Versión</w:t>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120"/>
      </w:pPr>
      <w:r>
        <w:rPr>
          <w:rFonts w:ascii="Calibri" w:cs="Calibri" w:eastAsia="Calibri" w:hAnsi="Calibri"/>
        </w:rPr>
        <w:t xml:space="preserve"/>
      </w:r>
    </w:p>
    <w:p>
      <w:pPr>
        <w:pStyle w:val="Heading1"/>
        <w:spacing w:after="160" w:before="280"/>
      </w:pPr>
      <w:r>
        <w:rPr>
          <w:rFonts w:ascii="Calibri" w:cs="Calibri" w:eastAsia="Calibri" w:hAnsi="Calibri"/>
          <w:b/>
          <w:bCs/>
          <w:color w:val="2E74B5"/>
          <w:sz w:val="28"/>
          <w:szCs w:val="28"/>
        </w:rPr>
        <w:t xml:space="preserve">1. Introducción</w:t>
      </w:r>
    </w:p>
    <w:p>
      <w:pPr>
        <w:pStyle w:val="Heading1"/>
        <w:spacing w:after="160" w:before="280"/>
      </w:pPr>
      <w:r>
        <w:rPr>
          <w:rFonts w:ascii="Calibri" w:cs="Calibri" w:eastAsia="Calibri" w:hAnsi="Calibri"/>
          <w:b/>
          <w:bCs/>
          <w:color w:val="2E74B5"/>
          <w:sz w:val="28"/>
          <w:szCs w:val="28"/>
        </w:rPr>
        <w:t xml:space="preserve">1.1 Descripción</w:t>
      </w:r>
    </w:p>
    <w:p>
      <w:pPr>
        <w:spacing w:after="120" w:line="276"/>
      </w:pPr>
      <w:r>
        <w:rPr>
          <w:rFonts w:ascii="Calibri" w:cs="Calibri" w:eastAsia="Calibri" w:hAnsi="Calibri"/>
          <w:sz w:val="22"/>
          <w:szCs w:val="22"/>
        </w:rPr>
        <w:t xml:space="preserve">El presente documento describe la forma en que el Técnico de Soporte atiende un caso que le fue asignado, registrando los avances de su gestión, trasladando el caso entre las distintas situaciones que contempla el proceso de atención y documentando la solución brindada al cliente hasta darlo por concluido.</w:t>
      </w:r>
    </w:p>
    <w:p>
      <w:pPr>
        <w:spacing w:after="100" w:before="160"/>
      </w:pPr>
      <w:r>
        <w:rPr>
          <w:rFonts w:ascii="Calibri" w:cs="Calibri" w:eastAsia="Calibri" w:hAnsi="Calibri"/>
          <w:b/>
          <w:bCs/>
          <w:sz w:val="22"/>
          <w:szCs w:val="22"/>
        </w:rPr>
        <w:t xml:space="preserve">1.2 Objetivo</w:t>
      </w:r>
    </w:p>
    <w:p>
      <w:pPr>
        <w:spacing w:after="120" w:line="276"/>
      </w:pPr>
      <w:r>
        <w:rPr>
          <w:rFonts w:ascii="Calibri" w:cs="Calibri" w:eastAsia="Calibri" w:hAnsi="Calibri"/>
          <w:sz w:val="22"/>
          <w:szCs w:val="22"/>
        </w:rPr>
        <w:t xml:space="preserve">Garantizar que toda gestión realizada sobre un caso quede debidamente documentada, de manera que en cualquier momento pueda conocerse qué se hizo, quién lo hizo y cuándo, y que el cliente sea informado del avance de su solicitud a través de la situación en que esta se encuentra.</w:t>
      </w:r>
    </w:p>
    <w:p>
      <w:pPr>
        <w:pStyle w:val="Heading1"/>
        <w:spacing w:after="160" w:before="280"/>
      </w:pPr>
      <w:r>
        <w:rPr>
          <w:rFonts w:ascii="Calibri" w:cs="Calibri" w:eastAsia="Calibri" w:hAnsi="Calibri"/>
          <w:b/>
          <w:bCs/>
          <w:color w:val="2E74B5"/>
          <w:sz w:val="28"/>
          <w:szCs w:val="28"/>
        </w:rPr>
        <w:t xml:space="preserve">2. Definición Caso de Uso</w:t>
      </w:r>
    </w:p>
    <w:p>
      <w:pPr>
        <w:pStyle w:val="Heading2"/>
        <w:spacing w:after="120" w:before="220"/>
      </w:pPr>
      <w:r>
        <w:rPr>
          <w:rFonts w:ascii="Calibri" w:cs="Calibri" w:eastAsia="Calibri" w:hAnsi="Calibri"/>
          <w:b/>
          <w:bCs/>
          <w:color w:val="2E74B5"/>
          <w:sz w:val="24"/>
          <w:szCs w:val="24"/>
        </w:rPr>
        <w:t xml:space="preserve">Actores</w:t>
      </w:r>
    </w:p>
    <w:p>
      <w:pPr>
        <w:pStyle w:val="ListParagraph"/>
        <w:numPr>
          <w:ilvl w:val="0"/>
          <w:numId w:val="2"/>
        </w:numPr>
        <w:spacing w:after="80" w:line="276"/>
      </w:pPr>
      <w:r>
        <w:rPr>
          <w:rFonts w:ascii="Calibri" w:cs="Calibri" w:eastAsia="Calibri" w:hAnsi="Calibri"/>
          <w:sz w:val="22"/>
          <w:szCs w:val="22"/>
        </w:rPr>
        <w:t xml:space="preserve">Técnico de Soporte</w:t>
      </w:r>
    </w:p>
    <w:p>
      <w:pPr>
        <w:pStyle w:val="ListParagraph"/>
        <w:numPr>
          <w:ilvl w:val="0"/>
          <w:numId w:val="2"/>
        </w:numPr>
        <w:spacing w:after="80" w:line="276"/>
      </w:pPr>
      <w:r>
        <w:rPr>
          <w:rFonts w:ascii="Calibri" w:cs="Calibri" w:eastAsia="Calibri" w:hAnsi="Calibri"/>
          <w:sz w:val="22"/>
          <w:szCs w:val="22"/>
        </w:rPr>
        <w:t xml:space="preserve">Sistema Informático</w:t>
      </w:r>
    </w:p>
    <w:p>
      <w:pPr>
        <w:pStyle w:val="Heading2"/>
        <w:spacing w:after="120" w:before="220"/>
      </w:pPr>
      <w:r>
        <w:rPr>
          <w:rFonts w:ascii="Calibri" w:cs="Calibri" w:eastAsia="Calibri" w:hAnsi="Calibri"/>
          <w:b/>
          <w:bCs/>
          <w:color w:val="2E74B5"/>
          <w:sz w:val="24"/>
          <w:szCs w:val="24"/>
        </w:rPr>
        <w:t xml:space="preserve">Precondiciones</w:t>
      </w:r>
    </w:p>
    <w:p>
      <w:pPr>
        <w:pStyle w:val="ListParagraph"/>
        <w:numPr>
          <w:ilvl w:val="0"/>
          <w:numId w:val="3"/>
        </w:numPr>
        <w:spacing w:after="80" w:line="276"/>
      </w:pPr>
      <w:r>
        <w:rPr>
          <w:rFonts w:ascii="Calibri" w:cs="Calibri" w:eastAsia="Calibri" w:hAnsi="Calibri"/>
          <w:sz w:val="22"/>
          <w:szCs w:val="22"/>
        </w:rPr>
        <w:t xml:space="preserve">El usuario debe haber iniciado sesión con el rol de Técnico de Soporte.</w:t>
      </w:r>
    </w:p>
    <w:p>
      <w:pPr>
        <w:pStyle w:val="ListParagraph"/>
        <w:numPr>
          <w:ilvl w:val="0"/>
          <w:numId w:val="3"/>
        </w:numPr>
        <w:spacing w:after="80" w:line="276"/>
      </w:pPr>
      <w:r>
        <w:rPr>
          <w:rFonts w:ascii="Calibri" w:cs="Calibri" w:eastAsia="Calibri" w:hAnsi="Calibri"/>
          <w:sz w:val="22"/>
          <w:szCs w:val="22"/>
        </w:rPr>
        <w:t xml:space="preserve">El caso debe encontrarse asignado al técnico que realiza la gestión.</w:t>
      </w:r>
    </w:p>
    <w:p>
      <w:pPr>
        <w:pStyle w:val="ListParagraph"/>
        <w:numPr>
          <w:ilvl w:val="0"/>
          <w:numId w:val="3"/>
        </w:numPr>
        <w:spacing w:after="80" w:line="276"/>
      </w:pPr>
      <w:r>
        <w:rPr>
          <w:rFonts w:ascii="Calibri" w:cs="Calibri" w:eastAsia="Calibri" w:hAnsi="Calibri"/>
          <w:sz w:val="22"/>
          <w:szCs w:val="22"/>
        </w:rPr>
        <w:t xml:space="preserve">El caso no debe encontrarse concluido.</w:t>
      </w:r>
    </w:p>
    <w:p>
      <w:pPr>
        <w:pStyle w:val="Heading2"/>
        <w:spacing w:after="120" w:before="220"/>
      </w:pPr>
      <w:r>
        <w:rPr>
          <w:rFonts w:ascii="Calibri" w:cs="Calibri" w:eastAsia="Calibri" w:hAnsi="Calibri"/>
          <w:b/>
          <w:bCs/>
          <w:color w:val="2E74B5"/>
          <w:sz w:val="24"/>
          <w:szCs w:val="24"/>
        </w:rPr>
        <w:t xml:space="preserve">Flujo Normal Básico</w:t>
      </w:r>
    </w:p>
    <w:p>
      <w:pPr>
        <w:pStyle w:val="ListParagraph"/>
        <w:numPr>
          <w:ilvl w:val="0"/>
          <w:numId w:val="4"/>
        </w:numPr>
        <w:spacing w:after="80" w:line="276"/>
      </w:pPr>
      <w:r>
        <w:rPr>
          <w:rFonts w:ascii="Calibri" w:cs="Calibri" w:eastAsia="Calibri" w:hAnsi="Calibri"/>
          <w:sz w:val="22"/>
          <w:szCs w:val="22"/>
        </w:rPr>
        <w:t xml:space="preserve">El técnico selecciona un caso desde su listado de casos. (Ver caso de uso “Dashboard del Técnico de Soporte”).</w:t>
      </w:r>
    </w:p>
    <w:p>
      <w:pPr>
        <w:pStyle w:val="ListParagraph"/>
        <w:numPr>
          <w:ilvl w:val="0"/>
          <w:numId w:val="4"/>
        </w:numPr>
        <w:spacing w:after="80" w:line="276"/>
      </w:pPr>
      <w:r>
        <w:rPr>
          <w:rFonts w:ascii="Calibri" w:cs="Calibri" w:eastAsia="Calibri" w:hAnsi="Calibri"/>
          <w:sz w:val="22"/>
          <w:szCs w:val="22"/>
        </w:rPr>
        <w:t xml:space="preserve">El sistema muestra el detalle del caso y el historial de los avances registrados hasta el momento.</w:t>
      </w:r>
    </w:p>
    <w:p>
      <w:pPr>
        <w:pStyle w:val="ListParagraph"/>
        <w:numPr>
          <w:ilvl w:val="0"/>
          <w:numId w:val="4"/>
        </w:numPr>
        <w:spacing w:after="80" w:line="276"/>
      </w:pPr>
      <w:r>
        <w:rPr>
          <w:rFonts w:ascii="Calibri" w:cs="Calibri" w:eastAsia="Calibri" w:hAnsi="Calibri"/>
          <w:sz w:val="22"/>
          <w:szCs w:val="22"/>
        </w:rPr>
        <w:t xml:space="preserve">El técnico redacta el avance correspondiente a la gestión realizada. RN01</w:t>
      </w:r>
    </w:p>
    <w:p>
      <w:pPr>
        <w:pStyle w:val="ListParagraph"/>
        <w:numPr>
          <w:ilvl w:val="0"/>
          <w:numId w:val="4"/>
        </w:numPr>
        <w:spacing w:after="80" w:line="276"/>
      </w:pPr>
      <w:r>
        <w:rPr>
          <w:rFonts w:ascii="Calibri" w:cs="Calibri" w:eastAsia="Calibri" w:hAnsi="Calibri"/>
          <w:sz w:val="22"/>
          <w:szCs w:val="22"/>
        </w:rPr>
        <w:t xml:space="preserve">El técnico selecciona la situación a la que traslada el caso. FA01, FA02, FA03, FA04, FA05, FA07, FA08</w:t>
      </w:r>
    </w:p>
    <w:p>
      <w:pPr>
        <w:pStyle w:val="ListParagraph"/>
        <w:numPr>
          <w:ilvl w:val="0"/>
          <w:numId w:val="4"/>
        </w:numPr>
        <w:spacing w:after="80" w:line="276"/>
      </w:pPr>
      <w:r>
        <w:rPr>
          <w:rFonts w:ascii="Calibri" w:cs="Calibri" w:eastAsia="Calibri" w:hAnsi="Calibri"/>
          <w:sz w:val="22"/>
          <w:szCs w:val="22"/>
        </w:rPr>
        <w:t xml:space="preserve">El sistema valida que se haya redactado el avance. FA06</w:t>
      </w:r>
    </w:p>
    <w:p>
      <w:pPr>
        <w:pStyle w:val="ListParagraph"/>
        <w:numPr>
          <w:ilvl w:val="0"/>
          <w:numId w:val="4"/>
        </w:numPr>
        <w:spacing w:after="80" w:line="276"/>
      </w:pPr>
      <w:r>
        <w:rPr>
          <w:rFonts w:ascii="Calibri" w:cs="Calibri" w:eastAsia="Calibri" w:hAnsi="Calibri"/>
          <w:sz w:val="22"/>
          <w:szCs w:val="22"/>
        </w:rPr>
        <w:t xml:space="preserve">El sistema valida que el traslado solicitado esté permitido. RN02</w:t>
      </w:r>
    </w:p>
    <w:p>
      <w:pPr>
        <w:pStyle w:val="ListParagraph"/>
        <w:numPr>
          <w:ilvl w:val="0"/>
          <w:numId w:val="4"/>
        </w:numPr>
        <w:spacing w:after="80" w:line="276"/>
      </w:pPr>
      <w:r>
        <w:rPr>
          <w:rFonts w:ascii="Calibri" w:cs="Calibri" w:eastAsia="Calibri" w:hAnsi="Calibri"/>
          <w:sz w:val="22"/>
          <w:szCs w:val="22"/>
        </w:rPr>
        <w:t xml:space="preserve">El sistema incorpora el avance al historial del caso, consignando la fecha, la hora y el técnico que lo registró. RN09</w:t>
      </w:r>
    </w:p>
    <w:p>
      <w:pPr>
        <w:pStyle w:val="ListParagraph"/>
        <w:numPr>
          <w:ilvl w:val="0"/>
          <w:numId w:val="4"/>
        </w:numPr>
        <w:spacing w:after="80" w:line="276"/>
      </w:pPr>
      <w:r>
        <w:rPr>
          <w:rFonts w:ascii="Calibri" w:cs="Calibri" w:eastAsia="Calibri" w:hAnsi="Calibri"/>
          <w:sz w:val="22"/>
          <w:szCs w:val="22"/>
        </w:rPr>
        <w:t xml:space="preserve">El sistema actualiza la situación del caso.</w:t>
      </w:r>
    </w:p>
    <w:p>
      <w:pPr>
        <w:pStyle w:val="ListParagraph"/>
        <w:numPr>
          <w:ilvl w:val="0"/>
          <w:numId w:val="4"/>
        </w:numPr>
        <w:spacing w:after="80" w:line="276"/>
      </w:pPr>
      <w:r>
        <w:rPr>
          <w:rFonts w:ascii="Calibri" w:cs="Calibri" w:eastAsia="Calibri" w:hAnsi="Calibri"/>
          <w:sz w:val="22"/>
          <w:szCs w:val="22"/>
        </w:rPr>
        <w:t xml:space="preserve">El sistema registra la operación en la bitácora. RN06</w:t>
      </w:r>
    </w:p>
    <w:p>
      <w:pPr>
        <w:pStyle w:val="ListParagraph"/>
        <w:numPr>
          <w:ilvl w:val="0"/>
          <w:numId w:val="4"/>
        </w:numPr>
        <w:spacing w:after="80" w:line="276"/>
      </w:pPr>
      <w:r>
        <w:rPr>
          <w:rFonts w:ascii="Calibri" w:cs="Calibri" w:eastAsia="Calibri" w:hAnsi="Calibri"/>
          <w:sz w:val="22"/>
          <w:szCs w:val="22"/>
        </w:rPr>
        <w:t xml:space="preserve">El sistema muestra el historial actualizado.</w:t>
      </w:r>
    </w:p>
    <w:p>
      <w:pPr>
        <w:pStyle w:val="ListParagraph"/>
        <w:numPr>
          <w:ilvl w:val="0"/>
          <w:numId w:val="4"/>
        </w:numPr>
        <w:spacing w:after="80" w:line="276"/>
      </w:pPr>
      <w:r>
        <w:rPr>
          <w:rFonts w:ascii="Calibri" w:cs="Calibri" w:eastAsia="Calibri" w:hAnsi="Calibri"/>
          <w:sz w:val="22"/>
          <w:szCs w:val="22"/>
        </w:rPr>
        <w:t xml:space="preserve">Fin del caso de uso.</w:t>
      </w:r>
    </w:p>
    <w:p>
      <w:pPr>
        <w:pStyle w:val="Heading2"/>
        <w:spacing w:after="120" w:before="220"/>
      </w:pPr>
      <w:r>
        <w:rPr>
          <w:rFonts w:ascii="Calibri" w:cs="Calibri" w:eastAsia="Calibri" w:hAnsi="Calibri"/>
          <w:b/>
          <w:bCs/>
          <w:color w:val="2E74B5"/>
          <w:sz w:val="24"/>
          <w:szCs w:val="24"/>
        </w:rPr>
        <w:t xml:space="preserve">2.4 Flujos Alternos</w:t>
      </w:r>
    </w:p>
    <w:p>
      <w:pPr>
        <w:spacing w:after="100" w:before="160"/>
      </w:pPr>
      <w:r>
        <w:rPr>
          <w:rFonts w:ascii="Calibri" w:cs="Calibri" w:eastAsia="Calibri" w:hAnsi="Calibri"/>
          <w:b/>
          <w:bCs/>
          <w:sz w:val="22"/>
          <w:szCs w:val="22"/>
        </w:rPr>
        <w:t xml:space="preserve">FA01 El técnico inicia la atención del caso</w:t>
      </w:r>
    </w:p>
    <w:p>
      <w:pPr>
        <w:pStyle w:val="ListParagraph"/>
        <w:numPr>
          <w:ilvl w:val="0"/>
          <w:numId w:val="5"/>
        </w:numPr>
        <w:spacing w:after="80" w:line="276"/>
      </w:pPr>
      <w:r>
        <w:rPr>
          <w:rFonts w:ascii="Calibri" w:cs="Calibri" w:eastAsia="Calibri" w:hAnsi="Calibri"/>
          <w:sz w:val="22"/>
          <w:szCs w:val="22"/>
        </w:rPr>
        <w:t xml:space="preserve">El técnico traslada el caso a la situación “En proceso”.</w:t>
      </w:r>
    </w:p>
    <w:p>
      <w:pPr>
        <w:pStyle w:val="ListParagraph"/>
        <w:numPr>
          <w:ilvl w:val="0"/>
          <w:numId w:val="5"/>
        </w:numPr>
        <w:spacing w:after="80" w:line="276"/>
      </w:pPr>
      <w:r>
        <w:rPr>
          <w:rFonts w:ascii="Calibri" w:cs="Calibri" w:eastAsia="Calibri" w:hAnsi="Calibri"/>
          <w:sz w:val="22"/>
          <w:szCs w:val="22"/>
        </w:rPr>
        <w:t xml:space="preserve">El sistema deja constancia del inicio de la atención.</w:t>
      </w:r>
    </w:p>
    <w:p>
      <w:pPr>
        <w:pStyle w:val="ListParagraph"/>
        <w:numPr>
          <w:ilvl w:val="0"/>
          <w:numId w:val="5"/>
        </w:numPr>
        <w:spacing w:after="80" w:line="276"/>
      </w:pPr>
      <w:r>
        <w:rPr>
          <w:rFonts w:ascii="Calibri" w:cs="Calibri" w:eastAsia="Calibri" w:hAnsi="Calibri"/>
          <w:sz w:val="22"/>
          <w:szCs w:val="22"/>
        </w:rPr>
        <w:t xml:space="preserve">El cliente puede consultar en su panel que su solicitud se encuentra en proceso.</w:t>
      </w:r>
    </w:p>
    <w:p>
      <w:pPr>
        <w:pStyle w:val="ListParagraph"/>
        <w:numPr>
          <w:ilvl w:val="0"/>
          <w:numId w:val="5"/>
        </w:numPr>
        <w:spacing w:after="80" w:line="276"/>
      </w:pPr>
      <w:r>
        <w:rPr>
          <w:rFonts w:ascii="Calibri" w:cs="Calibri" w:eastAsia="Calibri" w:hAnsi="Calibri"/>
          <w:sz w:val="22"/>
          <w:szCs w:val="22"/>
        </w:rPr>
        <w:t xml:space="preserve">El técnico continúa con el paso 3 del flujo normal básico cuando registre un nuevo avance.</w:t>
      </w:r>
    </w:p>
    <w:p>
      <w:pPr>
        <w:spacing w:after="100" w:before="160"/>
      </w:pPr>
      <w:r>
        <w:rPr>
          <w:rFonts w:ascii="Calibri" w:cs="Calibri" w:eastAsia="Calibri" w:hAnsi="Calibri"/>
          <w:b/>
          <w:bCs/>
          <w:sz w:val="22"/>
          <w:szCs w:val="22"/>
        </w:rPr>
        <w:t xml:space="preserve">FA02 El técnico resuelve el caso</w:t>
      </w:r>
    </w:p>
    <w:p>
      <w:pPr>
        <w:pStyle w:val="ListParagraph"/>
        <w:numPr>
          <w:ilvl w:val="0"/>
          <w:numId w:val="6"/>
        </w:numPr>
        <w:spacing w:after="80" w:line="276"/>
      </w:pPr>
      <w:r>
        <w:rPr>
          <w:rFonts w:ascii="Calibri" w:cs="Calibri" w:eastAsia="Calibri" w:hAnsi="Calibri"/>
          <w:sz w:val="22"/>
          <w:szCs w:val="22"/>
        </w:rPr>
        <w:t xml:space="preserve">El técnico traslada el caso a la situación “Resuelto”.</w:t>
      </w:r>
    </w:p>
    <w:p>
      <w:pPr>
        <w:pStyle w:val="ListParagraph"/>
        <w:numPr>
          <w:ilvl w:val="0"/>
          <w:numId w:val="6"/>
        </w:numPr>
        <w:spacing w:after="80" w:line="276"/>
      </w:pPr>
      <w:r>
        <w:rPr>
          <w:rFonts w:ascii="Calibri" w:cs="Calibri" w:eastAsia="Calibri" w:hAnsi="Calibri"/>
          <w:sz w:val="22"/>
          <w:szCs w:val="22"/>
        </w:rPr>
        <w:t xml:space="preserve">El sistema conserva el avance redactado como la solución brindada al caso. RN03</w:t>
      </w:r>
    </w:p>
    <w:p>
      <w:pPr>
        <w:pStyle w:val="ListParagraph"/>
        <w:numPr>
          <w:ilvl w:val="0"/>
          <w:numId w:val="6"/>
        </w:numPr>
        <w:spacing w:after="80" w:line="276"/>
      </w:pPr>
      <w:r>
        <w:rPr>
          <w:rFonts w:ascii="Calibri" w:cs="Calibri" w:eastAsia="Calibri" w:hAnsi="Calibri"/>
          <w:sz w:val="22"/>
          <w:szCs w:val="22"/>
        </w:rPr>
        <w:t xml:space="preserve">El cliente puede consultar en su panel que su solicitud fue resuelta, así como la solución documentada por el técnico.</w:t>
      </w:r>
    </w:p>
    <w:p>
      <w:pPr>
        <w:pStyle w:val="ListParagraph"/>
        <w:numPr>
          <w:ilvl w:val="0"/>
          <w:numId w:val="6"/>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FA03 El técnico escala el caso</w:t>
      </w:r>
    </w:p>
    <w:p>
      <w:pPr>
        <w:pStyle w:val="ListParagraph"/>
        <w:numPr>
          <w:ilvl w:val="0"/>
          <w:numId w:val="7"/>
        </w:numPr>
        <w:spacing w:after="80" w:line="276"/>
      </w:pPr>
      <w:r>
        <w:rPr>
          <w:rFonts w:ascii="Calibri" w:cs="Calibri" w:eastAsia="Calibri" w:hAnsi="Calibri"/>
          <w:sz w:val="22"/>
          <w:szCs w:val="22"/>
        </w:rPr>
        <w:t xml:space="preserve">El técnico determina que el caso excede su ámbito de resolución y lo traslada a la situación “Escalado”. RN04</w:t>
      </w:r>
    </w:p>
    <w:p>
      <w:pPr>
        <w:pStyle w:val="ListParagraph"/>
        <w:numPr>
          <w:ilvl w:val="0"/>
          <w:numId w:val="7"/>
        </w:numPr>
        <w:spacing w:after="80" w:line="276"/>
      </w:pPr>
      <w:r>
        <w:rPr>
          <w:rFonts w:ascii="Calibri" w:cs="Calibri" w:eastAsia="Calibri" w:hAnsi="Calibri"/>
          <w:sz w:val="22"/>
          <w:szCs w:val="22"/>
        </w:rPr>
        <w:t xml:space="preserve">El sistema exige que el avance exponga el motivo del escalamiento.</w:t>
      </w:r>
    </w:p>
    <w:p>
      <w:pPr>
        <w:pStyle w:val="ListParagraph"/>
        <w:numPr>
          <w:ilvl w:val="0"/>
          <w:numId w:val="7"/>
        </w:numPr>
        <w:spacing w:after="80" w:line="276"/>
      </w:pPr>
      <w:r>
        <w:rPr>
          <w:rFonts w:ascii="Calibri" w:cs="Calibri" w:eastAsia="Calibri" w:hAnsi="Calibri"/>
          <w:sz w:val="22"/>
          <w:szCs w:val="22"/>
        </w:rPr>
        <w:t xml:space="preserve">El caso deja de figurar entre los casos en atención del técnico y pasa a conocimiento del Supervisor de Soporte.</w:t>
      </w:r>
    </w:p>
    <w:p>
      <w:pPr>
        <w:pStyle w:val="ListParagraph"/>
        <w:numPr>
          <w:ilvl w:val="0"/>
          <w:numId w:val="7"/>
        </w:numPr>
        <w:spacing w:after="80" w:line="276"/>
      </w:pPr>
      <w:r>
        <w:rPr>
          <w:rFonts w:ascii="Calibri" w:cs="Calibri" w:eastAsia="Calibri" w:hAnsi="Calibri"/>
          <w:sz w:val="22"/>
          <w:szCs w:val="22"/>
        </w:rPr>
        <w:t xml:space="preserve">El sistema libera la capacidad del técnico. RN07</w:t>
      </w:r>
    </w:p>
    <w:p>
      <w:pPr>
        <w:pStyle w:val="ListParagraph"/>
        <w:numPr>
          <w:ilvl w:val="0"/>
          <w:numId w:val="7"/>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FA04 El técnico declara improcedente el caso</w:t>
      </w:r>
    </w:p>
    <w:p>
      <w:pPr>
        <w:pStyle w:val="ListParagraph"/>
        <w:numPr>
          <w:ilvl w:val="0"/>
          <w:numId w:val="8"/>
        </w:numPr>
        <w:spacing w:after="80" w:line="276"/>
      </w:pPr>
      <w:r>
        <w:rPr>
          <w:rFonts w:ascii="Calibri" w:cs="Calibri" w:eastAsia="Calibri" w:hAnsi="Calibri"/>
          <w:sz w:val="22"/>
          <w:szCs w:val="22"/>
        </w:rPr>
        <w:t xml:space="preserve">El técnico determina que la solicitud no corresponde al ámbito de atención de SolTec o que reitera una solicitud ya presentada.</w:t>
      </w:r>
    </w:p>
    <w:p>
      <w:pPr>
        <w:pStyle w:val="ListParagraph"/>
        <w:numPr>
          <w:ilvl w:val="0"/>
          <w:numId w:val="8"/>
        </w:numPr>
        <w:spacing w:after="80" w:line="276"/>
      </w:pPr>
      <w:r>
        <w:rPr>
          <w:rFonts w:ascii="Calibri" w:cs="Calibri" w:eastAsia="Calibri" w:hAnsi="Calibri"/>
          <w:sz w:val="22"/>
          <w:szCs w:val="22"/>
        </w:rPr>
        <w:t xml:space="preserve">El técnico traslada el caso a la situación “Improcedente”. RN05</w:t>
      </w:r>
    </w:p>
    <w:p>
      <w:pPr>
        <w:pStyle w:val="ListParagraph"/>
        <w:numPr>
          <w:ilvl w:val="0"/>
          <w:numId w:val="8"/>
        </w:numPr>
        <w:spacing w:after="80" w:line="276"/>
      </w:pPr>
      <w:r>
        <w:rPr>
          <w:rFonts w:ascii="Calibri" w:cs="Calibri" w:eastAsia="Calibri" w:hAnsi="Calibri"/>
          <w:sz w:val="22"/>
          <w:szCs w:val="22"/>
        </w:rPr>
        <w:t xml:space="preserve">El sistema exige que el avance exponga la razón de la improcedencia.</w:t>
      </w:r>
    </w:p>
    <w:p>
      <w:pPr>
        <w:pStyle w:val="ListParagraph"/>
        <w:numPr>
          <w:ilvl w:val="0"/>
          <w:numId w:val="8"/>
        </w:numPr>
        <w:spacing w:after="80" w:line="276"/>
      </w:pPr>
      <w:r>
        <w:rPr>
          <w:rFonts w:ascii="Calibri" w:cs="Calibri" w:eastAsia="Calibri" w:hAnsi="Calibri"/>
          <w:sz w:val="22"/>
          <w:szCs w:val="22"/>
        </w:rPr>
        <w:t xml:space="preserve">El sistema libera la capacidad del técnico. RN07</w:t>
      </w:r>
    </w:p>
    <w:p>
      <w:pPr>
        <w:pStyle w:val="ListParagraph"/>
        <w:numPr>
          <w:ilvl w:val="0"/>
          <w:numId w:val="8"/>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FA05 El técnico cierra el caso</w:t>
      </w:r>
    </w:p>
    <w:p>
      <w:pPr>
        <w:pStyle w:val="ListParagraph"/>
        <w:numPr>
          <w:ilvl w:val="0"/>
          <w:numId w:val="9"/>
        </w:numPr>
        <w:spacing w:after="80" w:line="276"/>
      </w:pPr>
      <w:r>
        <w:rPr>
          <w:rFonts w:ascii="Calibri" w:cs="Calibri" w:eastAsia="Calibri" w:hAnsi="Calibri"/>
          <w:sz w:val="22"/>
          <w:szCs w:val="22"/>
        </w:rPr>
        <w:t xml:space="preserve">Encontrándose el caso resuelto, el técnico lo traslada a la situación “Cerrado”.</w:t>
      </w:r>
    </w:p>
    <w:p>
      <w:pPr>
        <w:pStyle w:val="ListParagraph"/>
        <w:numPr>
          <w:ilvl w:val="0"/>
          <w:numId w:val="9"/>
        </w:numPr>
        <w:spacing w:after="80" w:line="276"/>
      </w:pPr>
      <w:r>
        <w:rPr>
          <w:rFonts w:ascii="Calibri" w:cs="Calibri" w:eastAsia="Calibri" w:hAnsi="Calibri"/>
          <w:sz w:val="22"/>
          <w:szCs w:val="22"/>
        </w:rPr>
        <w:t xml:space="preserve">El sistema da por concluida la atención y libera la capacidad del técnico. RN07</w:t>
      </w:r>
    </w:p>
    <w:p>
      <w:pPr>
        <w:pStyle w:val="ListParagraph"/>
        <w:numPr>
          <w:ilvl w:val="0"/>
          <w:numId w:val="9"/>
        </w:numPr>
        <w:spacing w:after="80" w:line="276"/>
      </w:pPr>
      <w:r>
        <w:rPr>
          <w:rFonts w:ascii="Calibri" w:cs="Calibri" w:eastAsia="Calibri" w:hAnsi="Calibri"/>
          <w:sz w:val="22"/>
          <w:szCs w:val="22"/>
        </w:rPr>
        <w:t xml:space="preserve">El sistema procura asignar al técnico un nuevo caso de los que se encuentren pendientes. (Ver caso de uso “Asignación de Solicitudes”).</w:t>
      </w:r>
    </w:p>
    <w:p>
      <w:pPr>
        <w:pStyle w:val="ListParagraph"/>
        <w:numPr>
          <w:ilvl w:val="0"/>
          <w:numId w:val="9"/>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FA06 El técnico no redacta el avance</w:t>
      </w:r>
    </w:p>
    <w:p>
      <w:pPr>
        <w:pStyle w:val="ListParagraph"/>
        <w:numPr>
          <w:ilvl w:val="0"/>
          <w:numId w:val="10"/>
        </w:numPr>
        <w:spacing w:after="80" w:line="276"/>
      </w:pPr>
      <w:r>
        <w:rPr>
          <w:rFonts w:ascii="Calibri" w:cs="Calibri" w:eastAsia="Calibri" w:hAnsi="Calibri"/>
          <w:sz w:val="22"/>
          <w:szCs w:val="22"/>
        </w:rPr>
        <w:t xml:space="preserve">El sistema detecta que el técnico no redactó el avance correspondiente.</w:t>
      </w:r>
    </w:p>
    <w:p>
      <w:pPr>
        <w:pStyle w:val="ListParagraph"/>
        <w:numPr>
          <w:ilvl w:val="0"/>
          <w:numId w:val="10"/>
        </w:numPr>
        <w:spacing w:after="80" w:line="276"/>
      </w:pPr>
      <w:r>
        <w:rPr>
          <w:rFonts w:ascii="Calibri" w:cs="Calibri" w:eastAsia="Calibri" w:hAnsi="Calibri"/>
          <w:sz w:val="22"/>
          <w:szCs w:val="22"/>
        </w:rPr>
        <w:t xml:space="preserve">El sistema muestra el mensaje: “Escriba el avance antes de continuar.” y no registra la gestión.</w:t>
      </w:r>
    </w:p>
    <w:p>
      <w:pPr>
        <w:pStyle w:val="ListParagraph"/>
        <w:numPr>
          <w:ilvl w:val="0"/>
          <w:numId w:val="10"/>
        </w:numPr>
        <w:spacing w:after="80" w:line="276"/>
      </w:pPr>
      <w:r>
        <w:rPr>
          <w:rFonts w:ascii="Calibri" w:cs="Calibri" w:eastAsia="Calibri" w:hAnsi="Calibri"/>
          <w:sz w:val="22"/>
          <w:szCs w:val="22"/>
        </w:rPr>
        <w:t xml:space="preserve">El técnico redacta el avance y reintenta la operación.</w:t>
      </w:r>
    </w:p>
    <w:p>
      <w:pPr>
        <w:pStyle w:val="ListParagraph"/>
        <w:numPr>
          <w:ilvl w:val="0"/>
          <w:numId w:val="10"/>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FA07 El técnico registra un avance sin trasladar el caso</w:t>
      </w:r>
    </w:p>
    <w:p>
      <w:pPr>
        <w:pStyle w:val="ListParagraph"/>
        <w:numPr>
          <w:ilvl w:val="0"/>
          <w:numId w:val="11"/>
        </w:numPr>
        <w:spacing w:after="80" w:line="276"/>
      </w:pPr>
      <w:r>
        <w:rPr>
          <w:rFonts w:ascii="Calibri" w:cs="Calibri" w:eastAsia="Calibri" w:hAnsi="Calibri"/>
          <w:sz w:val="22"/>
          <w:szCs w:val="22"/>
        </w:rPr>
        <w:t xml:space="preserve">El técnico redacta el avance y selecciona la opción “Solo registrar avance”.</w:t>
      </w:r>
    </w:p>
    <w:p>
      <w:pPr>
        <w:pStyle w:val="ListParagraph"/>
        <w:numPr>
          <w:ilvl w:val="0"/>
          <w:numId w:val="11"/>
        </w:numPr>
        <w:spacing w:after="80" w:line="276"/>
      </w:pPr>
      <w:r>
        <w:rPr>
          <w:rFonts w:ascii="Calibri" w:cs="Calibri" w:eastAsia="Calibri" w:hAnsi="Calibri"/>
          <w:sz w:val="22"/>
          <w:szCs w:val="22"/>
        </w:rPr>
        <w:t xml:space="preserve">El sistema incorpora el avance al historial del caso sin modificar su situación.</w:t>
      </w:r>
    </w:p>
    <w:p>
      <w:pPr>
        <w:pStyle w:val="ListParagraph"/>
        <w:numPr>
          <w:ilvl w:val="0"/>
          <w:numId w:val="11"/>
        </w:numPr>
        <w:spacing w:after="80" w:line="276"/>
      </w:pPr>
      <w:r>
        <w:rPr>
          <w:rFonts w:ascii="Calibri" w:cs="Calibri" w:eastAsia="Calibri" w:hAnsi="Calibri"/>
          <w:sz w:val="22"/>
          <w:szCs w:val="22"/>
        </w:rPr>
        <w:t xml:space="preserve">Este flujo permite dejar constancia de gestiones que no hacen variar la situación del caso, tales como comunicaciones sostenidas con el cliente o diligencias en curso.</w:t>
      </w:r>
    </w:p>
    <w:p>
      <w:pPr>
        <w:pStyle w:val="ListParagraph"/>
        <w:numPr>
          <w:ilvl w:val="0"/>
          <w:numId w:val="11"/>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FA08 El caso resuelto requiere ser atendido nuevamente</w:t>
      </w:r>
    </w:p>
    <w:p>
      <w:pPr>
        <w:pStyle w:val="ListParagraph"/>
        <w:numPr>
          <w:ilvl w:val="0"/>
          <w:numId w:val="12"/>
        </w:numPr>
        <w:spacing w:after="80" w:line="276"/>
      </w:pPr>
      <w:r>
        <w:rPr>
          <w:rFonts w:ascii="Calibri" w:cs="Calibri" w:eastAsia="Calibri" w:hAnsi="Calibri"/>
          <w:sz w:val="22"/>
          <w:szCs w:val="22"/>
        </w:rPr>
        <w:t xml:space="preserve">Encontrándose el caso resuelto, el técnico establece que la solución no fue satisfactoria.</w:t>
      </w:r>
    </w:p>
    <w:p>
      <w:pPr>
        <w:pStyle w:val="ListParagraph"/>
        <w:numPr>
          <w:ilvl w:val="0"/>
          <w:numId w:val="12"/>
        </w:numPr>
        <w:spacing w:after="80" w:line="276"/>
      </w:pPr>
      <w:r>
        <w:rPr>
          <w:rFonts w:ascii="Calibri" w:cs="Calibri" w:eastAsia="Calibri" w:hAnsi="Calibri"/>
          <w:sz w:val="22"/>
          <w:szCs w:val="22"/>
        </w:rPr>
        <w:t xml:space="preserve">El técnico traslada el caso nuevamente a la situación “En proceso”.</w:t>
      </w:r>
    </w:p>
    <w:p>
      <w:pPr>
        <w:pStyle w:val="ListParagraph"/>
        <w:numPr>
          <w:ilvl w:val="0"/>
          <w:numId w:val="12"/>
        </w:numPr>
        <w:spacing w:after="80" w:line="276"/>
      </w:pPr>
      <w:r>
        <w:rPr>
          <w:rFonts w:ascii="Calibri" w:cs="Calibri" w:eastAsia="Calibri" w:hAnsi="Calibri"/>
          <w:sz w:val="22"/>
          <w:szCs w:val="22"/>
        </w:rPr>
        <w:t xml:space="preserve">El sistema exige que el avance exponga el motivo por el cual se retoma la atención.</w:t>
      </w:r>
    </w:p>
    <w:p>
      <w:pPr>
        <w:pStyle w:val="ListParagraph"/>
        <w:numPr>
          <w:ilvl w:val="0"/>
          <w:numId w:val="12"/>
        </w:numPr>
        <w:spacing w:after="80" w:line="276"/>
      </w:pPr>
      <w:r>
        <w:rPr>
          <w:rFonts w:ascii="Calibri" w:cs="Calibri" w:eastAsia="Calibri" w:hAnsi="Calibri"/>
          <w:sz w:val="22"/>
          <w:szCs w:val="22"/>
        </w:rPr>
        <w:t xml:space="preserve">El sistema conserva íntegro el historial de la atención anterior.</w:t>
      </w:r>
    </w:p>
    <w:p>
      <w:pPr>
        <w:pStyle w:val="ListParagraph"/>
        <w:numPr>
          <w:ilvl w:val="0"/>
          <w:numId w:val="12"/>
        </w:numPr>
        <w:spacing w:after="80" w:line="276"/>
      </w:pPr>
      <w:r>
        <w:rPr>
          <w:rFonts w:ascii="Calibri" w:cs="Calibri" w:eastAsia="Calibri" w:hAnsi="Calibri"/>
          <w:sz w:val="22"/>
          <w:szCs w:val="22"/>
        </w:rPr>
        <w:t xml:space="preserve">Fin del flujo alterno.</w:t>
      </w:r>
    </w:p>
    <w:p>
      <w:pPr>
        <w:pStyle w:val="Heading2"/>
        <w:spacing w:after="120" w:before="220"/>
      </w:pPr>
      <w:r>
        <w:rPr>
          <w:rFonts w:ascii="Calibri" w:cs="Calibri" w:eastAsia="Calibri" w:hAnsi="Calibri"/>
          <w:b/>
          <w:bCs/>
          <w:color w:val="2E74B5"/>
          <w:sz w:val="24"/>
          <w:szCs w:val="24"/>
        </w:rPr>
        <w:t xml:space="preserve">2.5 Reglas de Negocio</w:t>
      </w:r>
    </w:p>
    <w:p>
      <w:pPr>
        <w:spacing w:after="100" w:before="160"/>
      </w:pPr>
      <w:r>
        <w:rPr>
          <w:rFonts w:ascii="Calibri" w:cs="Calibri" w:eastAsia="Calibri" w:hAnsi="Calibri"/>
          <w:b/>
          <w:bCs/>
          <w:sz w:val="22"/>
          <w:szCs w:val="22"/>
        </w:rPr>
        <w:t xml:space="preserve">RN01 Obligatoriedad del avance</w:t>
      </w:r>
    </w:p>
    <w:p>
      <w:pPr>
        <w:spacing w:after="120" w:line="276"/>
      </w:pPr>
      <w:r>
        <w:rPr>
          <w:rFonts w:ascii="Calibri" w:cs="Calibri" w:eastAsia="Calibri" w:hAnsi="Calibri"/>
          <w:sz w:val="22"/>
          <w:szCs w:val="22"/>
        </w:rPr>
        <w:t xml:space="preserve">Toda gestión sobre un caso exige que el técnico redacte el avance correspondiente. El sistema no permite trasladar un caso de una situación a otra sin dejar constancia escrita de la razón que lo motiva.</w:t>
      </w:r>
    </w:p>
    <w:p>
      <w:pPr>
        <w:spacing w:after="100" w:before="160"/>
      </w:pPr>
      <w:r>
        <w:rPr>
          <w:rFonts w:ascii="Calibri" w:cs="Calibri" w:eastAsia="Calibri" w:hAnsi="Calibri"/>
          <w:b/>
          <w:bCs/>
          <w:sz w:val="22"/>
          <w:szCs w:val="22"/>
        </w:rPr>
        <w:t xml:space="preserve">RN02 Traslados permitidos</w:t>
      </w:r>
    </w:p>
    <w:p>
      <w:pPr>
        <w:spacing w:after="120" w:line="276"/>
      </w:pPr>
      <w:r>
        <w:rPr>
          <w:rFonts w:ascii="Calibri" w:cs="Calibri" w:eastAsia="Calibri" w:hAnsi="Calibri"/>
          <w:sz w:val="22"/>
          <w:szCs w:val="22"/>
        </w:rPr>
        <w:t xml:space="preserve">El sistema únicamente admite los traslados que se detallan a continuación, con el objeto de que la atención siga un curso ordenado: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Situación actual del caso</w:t>
            </w:r>
          </w:p>
        </w:tc>
        <w:tc>
          <w:tcPr>
            <w:tcW w:type="dxa" w:w="61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Situaciones a las que puede trasladarse</w:t>
            </w:r>
          </w:p>
        </w:tc>
      </w:tr>
      <w:tr>
        <w:tc>
          <w:tcPr>
            <w:tcW w:type="dxa" w:w="3200"/>
            <w:tcMar>
              <w:top w:type="dxa" w:w="60"/>
              <w:left w:type="dxa" w:w="100"/>
              <w:bottom w:type="dxa" w:w="60"/>
              <w:right w:type="dxa" w:w="100"/>
            </w:tcMar>
          </w:tcPr>
          <w:p>
            <w:pPr>
              <w:spacing w:after="0"/>
            </w:pPr>
            <w:r>
              <w:rPr>
                <w:rFonts w:ascii="Calibri" w:cs="Calibri" w:eastAsia="Calibri" w:hAnsi="Calibri"/>
                <w:b/>
                <w:bCs/>
                <w:sz w:val="20"/>
                <w:szCs w:val="20"/>
              </w:rPr>
              <w:t xml:space="preserve">Asignado</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 proceso, Resuelto, Escalado, Improcedente</w:t>
            </w:r>
          </w:p>
        </w:tc>
      </w:tr>
      <w:tr>
        <w:tc>
          <w:tcPr>
            <w:tcW w:type="dxa" w:w="3200"/>
            <w:tcMar>
              <w:top w:type="dxa" w:w="60"/>
              <w:left w:type="dxa" w:w="100"/>
              <w:bottom w:type="dxa" w:w="60"/>
              <w:right w:type="dxa" w:w="100"/>
            </w:tcMar>
          </w:tcPr>
          <w:p>
            <w:pPr>
              <w:spacing w:after="0"/>
            </w:pPr>
            <w:r>
              <w:rPr>
                <w:rFonts w:ascii="Calibri" w:cs="Calibri" w:eastAsia="Calibri" w:hAnsi="Calibri"/>
                <w:b/>
                <w:bCs/>
                <w:sz w:val="20"/>
                <w:szCs w:val="20"/>
              </w:rPr>
              <w:t xml:space="preserve">En proceso</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Resuelto, Escalado, Improcedente</w:t>
            </w:r>
          </w:p>
        </w:tc>
      </w:tr>
      <w:tr>
        <w:tc>
          <w:tcPr>
            <w:tcW w:type="dxa" w:w="3200"/>
            <w:tcMar>
              <w:top w:type="dxa" w:w="60"/>
              <w:left w:type="dxa" w:w="100"/>
              <w:bottom w:type="dxa" w:w="60"/>
              <w:right w:type="dxa" w:w="100"/>
            </w:tcMar>
          </w:tcPr>
          <w:p>
            <w:pPr>
              <w:spacing w:after="0"/>
            </w:pPr>
            <w:r>
              <w:rPr>
                <w:rFonts w:ascii="Calibri" w:cs="Calibri" w:eastAsia="Calibri" w:hAnsi="Calibri"/>
                <w:b/>
                <w:bCs/>
                <w:sz w:val="20"/>
                <w:szCs w:val="20"/>
              </w:rPr>
              <w:t xml:space="preserve">Resuelto</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Cerrado, En proceso</w:t>
            </w:r>
          </w:p>
        </w:tc>
      </w:tr>
      <w:tr>
        <w:tc>
          <w:tcPr>
            <w:tcW w:type="dxa" w:w="3200"/>
            <w:tcMar>
              <w:top w:type="dxa" w:w="60"/>
              <w:left w:type="dxa" w:w="100"/>
              <w:bottom w:type="dxa" w:w="60"/>
              <w:right w:type="dxa" w:w="100"/>
            </w:tcMar>
          </w:tcPr>
          <w:p>
            <w:pPr>
              <w:spacing w:after="0"/>
            </w:pPr>
            <w:r>
              <w:rPr>
                <w:rFonts w:ascii="Calibri" w:cs="Calibri" w:eastAsia="Calibri" w:hAnsi="Calibri"/>
                <w:b/>
                <w:bCs/>
                <w:sz w:val="20"/>
                <w:szCs w:val="20"/>
              </w:rPr>
              <w:t xml:space="preserve">Escalado</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Ninguna. El caso pasa a conocimiento del Supervisor de Soporte.</w:t>
            </w:r>
          </w:p>
        </w:tc>
      </w:tr>
      <w:tr>
        <w:tc>
          <w:tcPr>
            <w:tcW w:type="dxa" w:w="3200"/>
            <w:tcMar>
              <w:top w:type="dxa" w:w="60"/>
              <w:left w:type="dxa" w:w="100"/>
              <w:bottom w:type="dxa" w:w="60"/>
              <w:right w:type="dxa" w:w="100"/>
            </w:tcMar>
          </w:tcPr>
          <w:p>
            <w:pPr>
              <w:spacing w:after="0"/>
            </w:pPr>
            <w:r>
              <w:rPr>
                <w:rFonts w:ascii="Calibri" w:cs="Calibri" w:eastAsia="Calibri" w:hAnsi="Calibri"/>
                <w:b/>
                <w:bCs/>
                <w:sz w:val="20"/>
                <w:szCs w:val="20"/>
              </w:rPr>
              <w:t xml:space="preserve">Cerrado</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Ninguna. El caso concluyó.</w:t>
            </w:r>
          </w:p>
        </w:tc>
      </w:tr>
      <w:tr>
        <w:tc>
          <w:tcPr>
            <w:tcW w:type="dxa" w:w="3200"/>
            <w:tcMar>
              <w:top w:type="dxa" w:w="60"/>
              <w:left w:type="dxa" w:w="100"/>
              <w:bottom w:type="dxa" w:w="60"/>
              <w:right w:type="dxa" w:w="100"/>
            </w:tcMar>
          </w:tcPr>
          <w:p>
            <w:pPr>
              <w:spacing w:after="0"/>
            </w:pPr>
            <w:r>
              <w:rPr>
                <w:rFonts w:ascii="Calibri" w:cs="Calibri" w:eastAsia="Calibri" w:hAnsi="Calibri"/>
                <w:b/>
                <w:bCs/>
                <w:sz w:val="20"/>
                <w:szCs w:val="20"/>
              </w:rPr>
              <w:t xml:space="preserve">Improcedente</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Ninguna. El caso concluyó.</w:t>
            </w:r>
          </w:p>
        </w:tc>
      </w:tr>
    </w:tbl>
    <w:p>
      <w:pPr>
        <w:spacing w:after="120"/>
      </w:pPr>
      <w:r>
        <w:rPr>
          <w:rFonts w:ascii="Calibri" w:cs="Calibri" w:eastAsia="Calibri" w:hAnsi="Calibri"/>
        </w:rPr>
        <w:t xml:space="preserve"/>
      </w:r>
    </w:p>
    <w:p>
      <w:pPr>
        <w:spacing w:after="120" w:line="276"/>
      </w:pPr>
      <w:r>
        <w:rPr>
          <w:rFonts w:ascii="Calibri" w:cs="Calibri" w:eastAsia="Calibri" w:hAnsi="Calibri"/>
          <w:sz w:val="22"/>
          <w:szCs w:val="22"/>
        </w:rPr>
        <w:t xml:space="preserve">Todo traslado distinto a los señalados es rechazado por el sistema.</w:t>
      </w:r>
    </w:p>
    <w:p>
      <w:pPr>
        <w:spacing w:after="100" w:before="160"/>
      </w:pPr>
      <w:r>
        <w:rPr>
          <w:rFonts w:ascii="Calibri" w:cs="Calibri" w:eastAsia="Calibri" w:hAnsi="Calibri"/>
          <w:b/>
          <w:bCs/>
          <w:sz w:val="22"/>
          <w:szCs w:val="22"/>
        </w:rPr>
        <w:t xml:space="preserve">RN03 Documentación de la solución</w:t>
      </w:r>
    </w:p>
    <w:p>
      <w:pPr>
        <w:spacing w:after="120" w:line="276"/>
      </w:pPr>
      <w:r>
        <w:rPr>
          <w:rFonts w:ascii="Calibri" w:cs="Calibri" w:eastAsia="Calibri" w:hAnsi="Calibri"/>
          <w:sz w:val="22"/>
          <w:szCs w:val="22"/>
        </w:rPr>
        <w:t xml:space="preserve">Al trasladar un caso a la situación “Resuelto”, el avance redactado por el técnico se conserva como la solución brindada. Esta constituye la única información redactada por el técnico que el cliente llega a conocer.</w:t>
      </w:r>
    </w:p>
    <w:p>
      <w:pPr>
        <w:spacing w:after="100" w:before="160"/>
      </w:pPr>
      <w:r>
        <w:rPr>
          <w:rFonts w:ascii="Calibri" w:cs="Calibri" w:eastAsia="Calibri" w:hAnsi="Calibri"/>
          <w:b/>
          <w:bCs/>
          <w:sz w:val="22"/>
          <w:szCs w:val="22"/>
        </w:rPr>
        <w:t xml:space="preserve">RN04 Escalamiento</w:t>
      </w:r>
    </w:p>
    <w:p>
      <w:pPr>
        <w:pStyle w:val="ListParagraph"/>
        <w:numPr>
          <w:ilvl w:val="0"/>
          <w:numId w:val="13"/>
        </w:numPr>
        <w:spacing w:after="80" w:line="276"/>
      </w:pPr>
      <w:r>
        <w:rPr>
          <w:rFonts w:ascii="Calibri" w:cs="Calibri" w:eastAsia="Calibri" w:hAnsi="Calibri"/>
          <w:sz w:val="22"/>
          <w:szCs w:val="22"/>
        </w:rPr>
        <w:t xml:space="preserve">El técnico escala el caso cuando su resolución excede su ámbito de competencia o cuando advierte circunstancias que ameritan el conocimiento del Supervisor de Soporte.</w:t>
      </w:r>
    </w:p>
    <w:p>
      <w:pPr>
        <w:pStyle w:val="ListParagraph"/>
        <w:numPr>
          <w:ilvl w:val="0"/>
          <w:numId w:val="13"/>
        </w:numPr>
        <w:spacing w:after="80" w:line="276"/>
      </w:pPr>
      <w:r>
        <w:rPr>
          <w:rFonts w:ascii="Calibri" w:cs="Calibri" w:eastAsia="Calibri" w:hAnsi="Calibri"/>
          <w:sz w:val="22"/>
          <w:szCs w:val="22"/>
        </w:rPr>
        <w:t xml:space="preserve">El caso escalado no retorna a la bolsa de casos pendientes ni se asigna a otro técnico de manera automática.</w:t>
      </w:r>
    </w:p>
    <w:p>
      <w:pPr>
        <w:spacing w:after="100" w:before="160"/>
      </w:pPr>
      <w:r>
        <w:rPr>
          <w:rFonts w:ascii="Calibri" w:cs="Calibri" w:eastAsia="Calibri" w:hAnsi="Calibri"/>
          <w:b/>
          <w:bCs/>
          <w:sz w:val="22"/>
          <w:szCs w:val="22"/>
        </w:rPr>
        <w:t xml:space="preserve">RN05 Improcedencia</w:t>
      </w:r>
    </w:p>
    <w:p>
      <w:pPr>
        <w:pStyle w:val="ListParagraph"/>
        <w:numPr>
          <w:ilvl w:val="0"/>
          <w:numId w:val="14"/>
        </w:numPr>
        <w:spacing w:after="80" w:line="276"/>
      </w:pPr>
      <w:r>
        <w:rPr>
          <w:rFonts w:ascii="Calibri" w:cs="Calibri" w:eastAsia="Calibri" w:hAnsi="Calibri"/>
          <w:sz w:val="22"/>
          <w:szCs w:val="22"/>
        </w:rPr>
        <w:t xml:space="preserve">El técnico declara improcedente el caso cuando la solicitud no corresponde al ámbito de atención de SolTec o cuando reitera una solicitud ya presentada.</w:t>
      </w:r>
    </w:p>
    <w:p>
      <w:pPr>
        <w:pStyle w:val="ListParagraph"/>
        <w:numPr>
          <w:ilvl w:val="0"/>
          <w:numId w:val="14"/>
        </w:numPr>
        <w:spacing w:after="80" w:line="276"/>
      </w:pPr>
      <w:r>
        <w:rPr>
          <w:rFonts w:ascii="Calibri" w:cs="Calibri" w:eastAsia="Calibri" w:hAnsi="Calibri"/>
          <w:sz w:val="22"/>
          <w:szCs w:val="22"/>
        </w:rPr>
        <w:t xml:space="preserve">El caso improcedente no se computa entre los casos resueltos, con el objeto de no distorsionar las estadísticas de atención.</w:t>
      </w:r>
    </w:p>
    <w:p>
      <w:pPr>
        <w:spacing w:after="100" w:before="160"/>
      </w:pPr>
      <w:r>
        <w:rPr>
          <w:rFonts w:ascii="Calibri" w:cs="Calibri" w:eastAsia="Calibri" w:hAnsi="Calibri"/>
          <w:b/>
          <w:bCs/>
          <w:sz w:val="22"/>
          <w:szCs w:val="22"/>
        </w:rPr>
        <w:t xml:space="preserve">RN06 Registro en bitácora</w:t>
      </w:r>
    </w:p>
    <w:p>
      <w:pPr>
        <w:spacing w:after="120" w:line="276"/>
      </w:pPr>
      <w:r>
        <w:rPr>
          <w:rFonts w:ascii="Calibri" w:cs="Calibri" w:eastAsia="Calibri" w:hAnsi="Calibri"/>
          <w:sz w:val="22"/>
          <w:szCs w:val="22"/>
        </w:rPr>
        <w:t xml:space="preserve">Toda gestión realizada sobre un caso queda asentada en la bitácora del sistema, indicando el técnico, la fecha, la hora y la dirección IP de origen. Este registro no puede ser modificado ni eliminado.</w:t>
      </w:r>
    </w:p>
    <w:p>
      <w:pPr>
        <w:spacing w:after="100" w:before="160"/>
      </w:pPr>
      <w:r>
        <w:rPr>
          <w:rFonts w:ascii="Calibri" w:cs="Calibri" w:eastAsia="Calibri" w:hAnsi="Calibri"/>
          <w:b/>
          <w:bCs/>
          <w:sz w:val="22"/>
          <w:szCs w:val="22"/>
        </w:rPr>
        <w:t xml:space="preserve">RN07 Liberación de capacidad</w:t>
      </w:r>
    </w:p>
    <w:p>
      <w:pPr>
        <w:pStyle w:val="ListParagraph"/>
        <w:numPr>
          <w:ilvl w:val="0"/>
          <w:numId w:val="15"/>
        </w:numPr>
        <w:spacing w:after="80" w:line="276"/>
      </w:pPr>
      <w:r>
        <w:rPr>
          <w:rFonts w:ascii="Calibri" w:cs="Calibri" w:eastAsia="Calibri" w:hAnsi="Calibri"/>
          <w:sz w:val="22"/>
          <w:szCs w:val="22"/>
        </w:rPr>
        <w:t xml:space="preserve">Al concluir la atención de un caso, la capacidad ocupada por este queda liberada.</w:t>
      </w:r>
    </w:p>
    <w:p>
      <w:pPr>
        <w:pStyle w:val="ListParagraph"/>
        <w:numPr>
          <w:ilvl w:val="0"/>
          <w:numId w:val="15"/>
        </w:numPr>
        <w:spacing w:after="80" w:line="276"/>
      </w:pPr>
      <w:r>
        <w:rPr>
          <w:rFonts w:ascii="Calibri" w:cs="Calibri" w:eastAsia="Calibri" w:hAnsi="Calibri"/>
          <w:sz w:val="22"/>
          <w:szCs w:val="22"/>
        </w:rPr>
        <w:t xml:space="preserve">El sistema aprovecha esa capacidad para asignar al técnico un nuevo caso de los que se encuentren pendientes de atención.</w:t>
      </w:r>
    </w:p>
    <w:p>
      <w:pPr>
        <w:spacing w:after="100" w:before="160"/>
      </w:pPr>
      <w:r>
        <w:rPr>
          <w:rFonts w:ascii="Calibri" w:cs="Calibri" w:eastAsia="Calibri" w:hAnsi="Calibri"/>
          <w:b/>
          <w:bCs/>
          <w:sz w:val="22"/>
          <w:szCs w:val="22"/>
        </w:rPr>
        <w:t xml:space="preserve">RN08 Confidencialidad de los avances</w:t>
      </w:r>
    </w:p>
    <w:p>
      <w:pPr>
        <w:spacing w:after="120" w:line="276"/>
      </w:pPr>
      <w:r>
        <w:rPr>
          <w:rFonts w:ascii="Calibri" w:cs="Calibri" w:eastAsia="Calibri" w:hAnsi="Calibri"/>
          <w:sz w:val="22"/>
          <w:szCs w:val="22"/>
        </w:rPr>
        <w:t xml:space="preserve">Los avances registrados por el técnico constituyen documentación interna de SolTec y no son visibles para el cliente. El cliente conoce el curso de su solicitud a través de la situación en que esta se encuentra y, una vez resuelta, de la solución documentada.</w:t>
      </w:r>
    </w:p>
    <w:p>
      <w:pPr>
        <w:spacing w:after="100" w:before="160"/>
      </w:pPr>
      <w:r>
        <w:rPr>
          <w:rFonts w:ascii="Calibri" w:cs="Calibri" w:eastAsia="Calibri" w:hAnsi="Calibri"/>
          <w:b/>
          <w:bCs/>
          <w:sz w:val="22"/>
          <w:szCs w:val="22"/>
        </w:rPr>
        <w:t xml:space="preserve">RN09 Inalterabilidad del historial</w:t>
      </w:r>
    </w:p>
    <w:p>
      <w:pPr>
        <w:spacing w:after="120" w:line="276"/>
      </w:pPr>
      <w:r>
        <w:rPr>
          <w:rFonts w:ascii="Calibri" w:cs="Calibri" w:eastAsia="Calibri" w:hAnsi="Calibri"/>
          <w:sz w:val="22"/>
          <w:szCs w:val="22"/>
        </w:rPr>
        <w:t xml:space="preserve">Los avances registrados no pueden ser modificados ni eliminados. Si un técnico advierte un error en un avance ya registrado, deberá consignar un nuevo avance que lo corrija, conservándose ambos en el historial del caso.</w:t>
      </w:r>
    </w:p>
    <w:p>
      <w:pPr>
        <w:pStyle w:val="Heading1"/>
        <w:spacing w:after="160" w:before="280"/>
      </w:pPr>
      <w:r>
        <w:rPr>
          <w:rFonts w:ascii="Calibri" w:cs="Calibri" w:eastAsia="Calibri" w:hAnsi="Calibri"/>
          <w:b/>
          <w:bCs/>
          <w:color w:val="2E74B5"/>
          <w:sz w:val="28"/>
          <w:szCs w:val="28"/>
        </w:rPr>
        <w:t xml:space="preserve">4.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3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Puesto / Sector</w:t>
            </w:r>
          </w:p>
        </w:tc>
        <w:tc>
          <w:tcPr>
            <w:tcW w:type="dxa" w:w="21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Firma</w:t>
            </w:r>
          </w:p>
        </w:tc>
      </w:tr>
      <w:tr>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1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160"/>
            <w:tcMar>
              <w:top w:type="dxa" w:w="60"/>
              <w:left w:type="dxa" w:w="100"/>
              <w:bottom w:type="dxa" w:w="60"/>
              <w:right w:type="dxa" w:w="100"/>
            </w:tcMar>
          </w:tcPr>
          <w:p>
            <w:pPr>
              <w:spacing w:after="0"/>
            </w:pPr>
            <w:r>
              <w:rPr>
                <w:rFonts w:ascii="Calibri" w:cs="Calibri" w:eastAsia="Calibri" w:hAnsi="Calibri"/>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360"/>
      </w:pPr>
    </w:lvl>
  </w:abstractNum>
  <w:abstractNum w:abstractNumId="3" w15:restartNumberingAfterBreak="0">
    <w:multiLevelType w:val="hybridMultilevel"/>
    <w:lvl w:ilvl="0" w15:tentative="1">
      <w:start w:val="1"/>
      <w:numFmt w:val="decimal"/>
      <w:lvlText w:val="%1."/>
      <w:lvlJc w:val="start"/>
      <w:pPr>
        <w:ind w:left="648" w:hanging="360"/>
      </w:pPr>
    </w:lvl>
  </w:abstractNum>
  <w:abstractNum w:abstractNumId="4" w15:restartNumberingAfterBreak="0">
    <w:multiLevelType w:val="hybridMultilevel"/>
    <w:lvl w:ilvl="0" w15:tentative="1">
      <w:start w:val="1"/>
      <w:numFmt w:val="decimal"/>
      <w:lvlText w:val="%1."/>
      <w:lvlJc w:val="start"/>
      <w:pPr>
        <w:ind w:left="648" w:hanging="360"/>
      </w:pPr>
    </w:lvl>
  </w:abstractNum>
  <w:abstractNum w:abstractNumId="5" w15:restartNumberingAfterBreak="0">
    <w:multiLevelType w:val="hybridMultilevel"/>
    <w:lvl w:ilvl="0" w15:tentative="1">
      <w:start w:val="1"/>
      <w:numFmt w:val="decimal"/>
      <w:lvlText w:val="%1."/>
      <w:lvlJc w:val="start"/>
      <w:pPr>
        <w:ind w:left="648" w:hanging="360"/>
      </w:pPr>
    </w:lvl>
  </w:abstractNum>
  <w:abstractNum w:abstractNumId="6" w15:restartNumberingAfterBreak="0">
    <w:multiLevelType w:val="hybridMultilevel"/>
    <w:lvl w:ilvl="0" w15:tentative="1">
      <w:start w:val="1"/>
      <w:numFmt w:val="decimal"/>
      <w:lvlText w:val="%1."/>
      <w:lvlJc w:val="start"/>
      <w:pPr>
        <w:ind w:left="648" w:hanging="360"/>
      </w:pPr>
    </w:lvl>
  </w:abstractNum>
  <w:abstractNum w:abstractNumId="7" w15:restartNumberingAfterBreak="0">
    <w:multiLevelType w:val="hybridMultilevel"/>
    <w:lvl w:ilvl="0" w15:tentative="1">
      <w:start w:val="1"/>
      <w:numFmt w:val="decimal"/>
      <w:lvlText w:val="%1."/>
      <w:lvlJc w:val="start"/>
      <w:pPr>
        <w:ind w:left="648" w:hanging="360"/>
      </w:pPr>
    </w:lvl>
  </w:abstractNum>
  <w:abstractNum w:abstractNumId="8" w15:restartNumberingAfterBreak="0">
    <w:multiLevelType w:val="hybridMultilevel"/>
    <w:lvl w:ilvl="0" w15:tentative="1">
      <w:start w:val="1"/>
      <w:numFmt w:val="decimal"/>
      <w:lvlText w:val="%1."/>
      <w:lvlJc w:val="start"/>
      <w:pPr>
        <w:ind w:left="648" w:hanging="360"/>
      </w:pPr>
    </w:lvl>
  </w:abstractNum>
  <w:abstractNum w:abstractNumId="9" w15:restartNumberingAfterBreak="0">
    <w:multiLevelType w:val="hybridMultilevel"/>
    <w:lvl w:ilvl="0" w15:tentative="1">
      <w:start w:val="1"/>
      <w:numFmt w:val="decimal"/>
      <w:lvlText w:val="%1."/>
      <w:lvlJc w:val="start"/>
      <w:pPr>
        <w:ind w:left="648" w:hanging="360"/>
      </w:pPr>
    </w:lvl>
  </w:abstractNum>
  <w:abstractNum w:abstractNumId="10" w15:restartNumberingAfterBreak="0">
    <w:multiLevelType w:val="hybridMultilevel"/>
    <w:lvl w:ilvl="0" w15:tentative="1">
      <w:start w:val="1"/>
      <w:numFmt w:val="decimal"/>
      <w:lvlText w:val="%1."/>
      <w:lvlJc w:val="start"/>
      <w:pPr>
        <w:ind w:left="648" w:hanging="360"/>
      </w:pPr>
    </w:lvl>
  </w:abstractNum>
  <w:abstractNum w:abstractNumId="11" w15:restartNumberingAfterBreak="0">
    <w:multiLevelType w:val="hybridMultilevel"/>
    <w:lvl w:ilvl="0" w15:tentative="1">
      <w:start w:val="1"/>
      <w:numFmt w:val="decimal"/>
      <w:lvlText w:val="%1."/>
      <w:lvlJc w:val="start"/>
      <w:pPr>
        <w:ind w:left="648" w:hanging="360"/>
      </w:pPr>
    </w:lvl>
  </w:abstractNum>
  <w:abstractNum w:abstractNumId="12" w15:restartNumberingAfterBreak="0">
    <w:multiLevelType w:val="hybridMultilevel"/>
    <w:lvl w:ilvl="0" w15:tentative="1">
      <w:start w:val="1"/>
      <w:numFmt w:val="decimal"/>
      <w:lvlText w:val="%1."/>
      <w:lvlJc w:val="start"/>
      <w:pPr>
        <w:ind w:left="648" w:hanging="360"/>
      </w:pPr>
    </w:lvl>
  </w:abstractNum>
  <w:abstractNum w:abstractNumId="13" w15:restartNumberingAfterBreak="0">
    <w:multiLevelType w:val="hybridMultilevel"/>
    <w:lvl w:ilvl="0" w15:tentative="1">
      <w:start w:val="1"/>
      <w:numFmt w:val="decimal"/>
      <w:lvlText w:val="%1."/>
      <w:lvlJc w:val="start"/>
      <w:pPr>
        <w:ind w:left="648" w:hanging="360"/>
      </w:pPr>
    </w:lvl>
  </w:abstractNum>
  <w:abstractNum w:abstractNumId="14" w15:restartNumberingAfterBreak="0">
    <w:multiLevelType w:val="hybridMultilevel"/>
    <w:lvl w:ilvl="0" w15:tentative="1">
      <w:start w:val="1"/>
      <w:numFmt w:val="decimal"/>
      <w:lvlText w:val="%1."/>
      <w:lvlJc w:val="start"/>
      <w:pPr>
        <w:ind w:left="648" w:hanging="360"/>
      </w:pPr>
    </w:lvl>
  </w:abstractNum>
  <w:abstractNum w:abstractNumId="15" w15:restartNumberingAfterBreak="0">
    <w:multiLevelType w:val="hybridMultilevel"/>
    <w:lvl w:ilvl="0" w15:tentative="1">
      <w:start w:val="1"/>
      <w:numFmt w:val="decimal"/>
      <w:lvlText w:val="%1."/>
      <w:lvlJc w:val="start"/>
      <w:pPr>
        <w:ind w:left="648" w:hanging="360"/>
      </w:pPr>
    </w:lvl>
  </w:abstractNum>
  <w:abstractNum w:abstractNumId="16" w15:restartNumberingAfterBreak="0">
    <w:multiLevelType w:val="hybridMultilevel"/>
    <w:lvl w:ilvl="0" w15:tentative="1">
      <w:start w:val="1"/>
      <w:numFmt w:val="decimal"/>
      <w:lvlText w:val="%1."/>
      <w:lvlJc w:val="start"/>
      <w:pPr>
        <w:ind w:left="648" w:hanging="360"/>
      </w:pPr>
    </w:lvl>
  </w:abstractNum>
  <w:abstractNum w:abstractNumId="17" w15:restartNumberingAfterBreak="0">
    <w:multiLevelType w:val="hybridMultilevel"/>
    <w:lvl w:ilvl="0" w15:tentative="1">
      <w:start w:val="1"/>
      <w:numFmt w:val="decimal"/>
      <w:lvlText w:val="%1."/>
      <w:lvlJc w:val="start"/>
      <w:pPr>
        <w:ind w:left="648" w:hanging="360"/>
      </w:pPr>
    </w:lvl>
  </w:abstractNum>
  <w:abstractNum w:abstractNumId="18" w15:restartNumberingAfterBreak="0">
    <w:multiLevelType w:val="hybridMultilevel"/>
    <w:lvl w:ilvl="0" w15:tentative="1">
      <w:start w:val="1"/>
      <w:numFmt w:val="decimal"/>
      <w:lvlText w:val="%1."/>
      <w:lvlJc w:val="start"/>
      <w:pPr>
        <w:ind w:left="64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2026-08-27T02:55:30.759Z</dcterms:created>
  <dcterms:modified xsi:type="dcterms:W3CDTF">2026-08-27T02:55:30.759Z</dcterms:modified>
</cp:coreProperties>
</file>

<file path=docProps/custom.xml><?xml version="1.0" encoding="utf-8"?>
<Properties xmlns="http://schemas.openxmlformats.org/officeDocument/2006/custom-properties" xmlns:vt="http://schemas.openxmlformats.org/officeDocument/2006/docPropsVTypes"/>
</file>