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隐盾项目分工与执行计划</w:t>
      </w:r>
    </w:p>
    <w:p>
      <w:pPr>
        <w:pStyle w:val="Subtitle"/>
      </w:pPr>
      <w:r>
        <w:t>两人独立复核 一人裁决</w:t>
      </w:r>
    </w:p>
    <w:p>
      <w:r>
        <w:t>更新日期  2026 年 10 月 13 日    执行起点  人员到位后第 1 个工作日</w:t>
      </w:r>
    </w:p>
    <w:p>
      <w:pPr>
        <w:pStyle w:val="Heading1"/>
      </w:pPr>
      <w:r>
        <w:t>一 哪些事需要你参与</w:t>
      </w:r>
    </w:p>
    <w:p>
      <w:r>
        <w:t>你主要负责确认使用边界、管理 API 账户、落实三位复核成员，以及决定是否试用。写代码、准备合成试标材料、运行测试、比较标注、计算结果和更新报告由我完成。复核不必全部由你亲自做，但必须由真实成员独立判断；AI 生成的结论不能冒充人工金标。</w:t>
      </w:r>
    </w:p>
    <w:p>
      <w:pPr>
        <w:pStyle w:val="Heading2"/>
      </w:pPr>
      <w:r>
        <w:t>需要你或有权限的负责人确认</w:t>
      </w:r>
    </w:p>
    <w:p>
      <w:pPr>
        <w:pStyle w:val="ListBullet"/>
      </w:pPr>
      <w:r>
        <w:t>确认首轮场景和披露要求：当前按活动统计、会议纪要、对外项目介绍执行。写清谁使用、材料从哪里来、哪些内容可以发送给你指定的 API 服务。没有授权的真实材料先不进入外发测试，可使用人工新写的虚构材料。</w:t>
      </w:r>
    </w:p>
    <w:p>
      <w:pPr>
        <w:pStyle w:val="ListBullet"/>
      </w:pPr>
      <w:r>
        <w:t>管理账户：你已提供兼容接口 https://www.ccsub.net/api/v1 和模型名 gpt-5.4。在本机 app/.env 填写 LLM_API_KEY，保留 LLM_MODE=real；设置你能接受的额度或消费上限。密钥不用发给我。服务实际可用性和模型名称需由连接结果验证。</w:t>
      </w:r>
    </w:p>
    <w:p>
      <w:pPr>
        <w:pStyle w:val="ListBullet"/>
      </w:pPr>
      <w:r>
        <w:t>安排 A、B 两名复核者与 C 一名裁决者，约定提交时间。你可兼任其中一人；同一条记录不能由同一个人充当两名独立复核者。</w:t>
      </w:r>
    </w:p>
    <w:p>
      <w:pPr>
        <w:pStyle w:val="ListBullet"/>
      </w:pPr>
      <w:r>
        <w:t>确认最终试用范围和验收结论。真实访谈、试用反馈必须来自实际参与者；如需在另一台电脑验收，由持有该电脑的人执行，我提供检查步骤并处理反馈。</w:t>
      </w:r>
    </w:p>
    <w:p>
      <w:pPr>
        <w:pStyle w:val="Heading2"/>
      </w:pPr>
      <w:r>
        <w:t>可以分派给其他成员</w:t>
      </w:r>
    </w:p>
    <w:p>
      <w:r>
        <w:t>材料授权核实、样本编写、A/B 标注、C 裁决、招募试用者和第二台电脑检查都可以分派。你负责落实人员与最终决定，无需亲自整理全部数据或操作开发工具。</w:t>
      </w:r>
    </w:p>
    <w:p>
      <w:pPr>
        <w:pStyle w:val="Heading2"/>
      </w:pPr>
      <w:r>
        <w:t>已有方案在哪里</w:t>
      </w:r>
    </w:p>
    <w:p>
      <w:r>
        <w:t>已找到《隐盾人工复核方案与记录表》，包含实体边界、允许动作、关系保持和统计口径；本计划将它落实为人员、时间和文件交接。项目根目录的《现在需要解决的问题》是比赛材料写作提纲，不是已经完成人工复核的证据。</w:t>
      </w:r>
    </w:p>
    <w:p>
      <w:pPr>
        <w:pStyle w:val="Heading1"/>
        <w:pageBreakBefore/>
      </w:pPr>
      <w:r>
        <w:t>二 我已完成和接下来承接的工作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706"/>
        <w:gridCol w:w="3005"/>
      </w:tblGrid>
      <w:tr>
        <w:trPr>
          <w:cantSplit/>
          <w:tblHeader/>
        </w:trPr>
        <w:tc>
          <w:tcPr>
            <w:tcW w:type="dxa" w:w="1814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4706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005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后续需要的输入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统一对话和防护链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已整合文字、材料、脱敏和多轮历史；保留安全校验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真实使用反馈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姓名误报修复</w:t>
            </w:r>
          </w:p>
        </w:tc>
        <w:tc>
          <w:tcPr>
            <w:tcW w:type="dxa" w:w="4706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改为标签直接关联姓名，覆盖同文重复姓名；开发集重训</w:t>
            </w:r>
          </w:p>
        </w:tc>
        <w:tc>
          <w:tcPr>
            <w:tcW w:type="dxa" w:w="3005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未见材料中的漏报与误报实例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API 配置与自检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已填地址和模型；新增固定公开短句自检，失败不输出密钥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你在本机填好密钥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试标工具</w:t>
            </w:r>
          </w:p>
        </w:tc>
        <w:tc>
          <w:tcPr>
            <w:tcW w:type="dxa" w:w="4706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已生成 9 个合成单元、完整发送消息证据和离线填写页</w:t>
            </w:r>
          </w:p>
        </w:tc>
        <w:tc>
          <w:tcPr>
            <w:tcW w:type="dxa" w:w="3005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A/B 实际填写的 JSON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分歧比较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检查版本、重复复核者、缺项和不确定判断；生成裁决模板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两份完整记录和 C 的裁决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自动化验证</w:t>
            </w:r>
          </w:p>
        </w:tc>
        <w:tc>
          <w:tcPr>
            <w:tcW w:type="dxa" w:w="4706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81 项回归、27 个子检查、38 项冒烟通过</w:t>
            </w:r>
          </w:p>
        </w:tc>
        <w:tc>
          <w:tcPr>
            <w:tcW w:type="dxa" w:w="3005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故障反馈产生新修复后再验证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后续迭代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可导入已裁决标签、整理错误、训练与对照评测、更新报告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独立金标、允许的 API 测试额度</w:t>
            </w:r>
          </w:p>
        </w:tc>
      </w:tr>
    </w:tbl>
    <w:p>
      <w:pPr>
        <w:spacing w:after="20"/>
      </w:pPr>
    </w:p>
    <w:p>
      <w:pPr>
        <w:pStyle w:val="Heading2"/>
      </w:pPr>
      <w:r>
        <w:t>工具能解决什么</w:t>
      </w:r>
    </w:p>
    <w:p>
      <w:r>
        <w:t>“打开人工复核.cmd”打开本机离线填写页。每条先填写应保留事实和禁止信息，再展开系统输出；页面保存 JSON，关闭前要导出。A/B 分开填写，裁决前不交换结果。页面不联网，保存的是本批合成证据，不包含 API 密钥。</w:t>
      </w:r>
    </w:p>
    <w:p>
      <w:r>
        <w:t>“比较两份复核.cmd”接收 A、B 两份记录，生成分歧和裁决模板；也可以把记录留在本机告诉我路径，由我执行。它不会替 C 作出裁决，不会把两人一致的“不确定”当成通过。</w:t>
      </w:r>
    </w:p>
    <w:p>
      <w:pPr>
        <w:pStyle w:val="Heading2"/>
      </w:pPr>
      <w:r>
        <w:t>工具的适用范围</w:t>
      </w:r>
    </w:p>
    <w:p>
      <w:r>
        <w:t>当前页面用于试标流程校准，包含泄露判断、回答完成度与误暂停。精确实体边界、允许动作集合和跨轮关系金标仍按原方案记录；本轮没有把简化试标表当成完整的实体标注平台。正式数据齐备后，我可按确认的字段批量导入和评测。</w:t>
      </w:r>
    </w:p>
    <w:p>
      <w:r>
        <w:t>当前试标使用 mock。其回答只能检验流程，真实回答质量应选“不适用”。已有一条安全暂停保留在证据中，必须复核原因，不能删去后只统计成功样本。</w:t>
      </w:r>
    </w:p>
    <w:p>
      <w:pPr>
        <w:pStyle w:val="Heading1"/>
        <w:pageBreakBefore/>
      </w:pPr>
      <w:r>
        <w:t>三 五个工作日的执行顺序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5443"/>
      </w:tblGrid>
      <w:tr>
        <w:trPr>
          <w:cantSplit/>
          <w:tblHeader/>
        </w:trPr>
        <w:tc>
          <w:tcPr>
            <w:tcW w:type="dxa" w:w="1247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负责人和预计用时</w:t>
            </w:r>
          </w:p>
        </w:tc>
        <w:tc>
          <w:tcPr>
            <w:tcW w:type="dxa" w:w="5443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要做的事与交付物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第 1 天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你 30–45 分钟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确认场景、指定 A/B/C；填写密钥、额度上限和材料来源约定。交付人员安排与边界说明。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第 2 天</w:t>
            </w:r>
          </w:p>
        </w:tc>
        <w:tc>
          <w:tcPr>
            <w:tcW w:type="dxa" w:w="2835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A/B 各 45–60 分钟</w:t>
              <w:br/>
              <w:t>C 30–45 分钟</w:t>
            </w:r>
          </w:p>
        </w:tc>
        <w:tc>
          <w:tcPr>
            <w:tcW w:type="dxa" w:w="5443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独立完成 9 个试标单元；分别导出 JSON。C 裁决分歧并补充判断规范；不把试标计入最终验收。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第 3 天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你或资料成员 1–2 小时</w:t>
              <w:br/>
              <w:t>A/B 各 60–90 分钟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收集或新写 12 份材料、6 组三轮对话；确认来源、分组和任务。A/B 先标实体、禁止值、允许动作及任务关系，不看运行结果。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第 4 天</w:t>
            </w:r>
          </w:p>
        </w:tc>
        <w:tc>
          <w:tcPr>
            <w:tcW w:type="dxa" w:w="2835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A/B 各 1.5–2 小时</w:t>
              <w:br/>
              <w:t>C 1–2 小时</w:t>
            </w:r>
          </w:p>
        </w:tc>
        <w:tc>
          <w:tcPr>
            <w:tcW w:type="dxa" w:w="5443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裁决并锁定预期；我固定代码与权重运行。A/B 独立评结果，C 处理分歧，冻结 42 个正式单元的记录。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第 5 天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你和试用成员约 1 小时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阅读我生成的错误清单和统计；在另一台电脑按步骤验收；确认修复优先级和是否小范围试用。</w:t>
            </w:r>
          </w:p>
        </w:tc>
      </w:tr>
    </w:tbl>
    <w:p>
      <w:pPr>
        <w:spacing w:after="20"/>
      </w:pPr>
    </w:p>
    <w:p>
      <w:r>
        <w:t>这是顺序计划，不要求连续五天完成。连同材料准备、标注和裁决，预计 12–18 人时，试标后按实际速度调整。发现规范不清时先修订规范再进入正式批次；若第 1 天密钥未就绪，离线标注仍可推进，真实回答验收顺延。</w:t>
      </w:r>
    </w:p>
    <w:p>
      <w:pPr>
        <w:pStyle w:val="Heading2"/>
      </w:pPr>
      <w:r>
        <w:t>正式样本怎么准备</w:t>
      </w:r>
    </w:p>
    <w:p>
      <w:pPr>
        <w:pStyle w:val="ListBullet"/>
      </w:pPr>
      <w:r>
        <w:t>材料：活动统计、会议纪要、项目介绍各 4 份，共 12 份；每份设计 2 个有差异的任务条件，共 24 个请求。正文、表格、混合实体与跨句关系均要覆盖。每份先以 200–800 字或 5–15 行为宜。</w:t>
      </w:r>
    </w:p>
    <w:p>
      <w:pPr>
        <w:pStyle w:val="ListBullet"/>
      </w:pPr>
      <w:r>
        <w:t>对话：6 组，每组 3 轮，共 18 轮。覆盖人物补充、新人物与旧代号、代词省略、表格后追问、索要原始身份信息，以及跨轮累计识别风险。</w:t>
      </w:r>
    </w:p>
    <w:p>
      <w:pPr>
        <w:pStyle w:val="ListBullet"/>
      </w:pPr>
      <w:r>
        <w:t>记录来源组 ID 和授权依据。同一材料及改写变体放在同一组，不跨训练和正式验收集。已有 90 例已用于开发排查，不能继续称为完全未见验收集。</w:t>
      </w:r>
    </w:p>
    <w:p>
      <w:pPr>
        <w:pStyle w:val="ListBullet"/>
      </w:pPr>
      <w:r>
        <w:t>没有真实材料时可以人工新写虚构材料，并如实标“合成”。由我起草也可以，但仍需 A/B 独立复核；不得虚构真实访谈、授权或人工结果。</w:t>
      </w:r>
    </w:p>
    <w:p>
      <w:pPr>
        <w:pStyle w:val="Heading1"/>
        <w:pageBreakBefore/>
      </w:pPr>
      <w:r>
        <w:t>四 提交标准和我如何继续接手</w:t>
      </w:r>
    </w:p>
    <w:p>
      <w:pPr>
        <w:pStyle w:val="Heading2"/>
      </w:pPr>
      <w:r>
        <w:t>A 和 B 的提交标准</w:t>
      </w:r>
    </w:p>
    <w:p>
      <w:r>
        <w:t>原文判断应说明“哪一段、什么信息、为什么”，不要只写“敏感”或“通过”。检查完整发送消息，包括前序轮次；检查人物、事项和期限是否对应。发现泄露、信息损失或误暂停时注明单元 ID 和原文位置。保存 JSON 后确认复核者代号正确，并将两份文件分别交给 C。</w:t>
      </w:r>
    </w:p>
    <w:p>
      <w:pPr>
        <w:pStyle w:val="Heading2"/>
      </w:pPr>
      <w:r>
        <w:t>C 的裁决步骤</w:t>
      </w:r>
    </w:p>
    <w:p>
      <w:pPr>
        <w:pStyle w:val="ListBullet"/>
      </w:pPr>
      <w:r>
        <w:t>先核对同一证据指纹、同一模型版本及完整单元列表。逐条回看有争议的原文、任务和实际载荷，不能按模型概率高低决定谁对。</w:t>
      </w:r>
    </w:p>
    <w:p>
      <w:pPr>
        <w:pStyle w:val="ListBullet"/>
      </w:pPr>
      <w:r>
        <w:t>每个分歧填写最终泄露、完成度和误暂停判断，并写依据；不确定的记录补信息后再判。另抽查至少 3 条一致记录，正式批次至少抽查 20%。</w:t>
      </w:r>
    </w:p>
    <w:p>
      <w:pPr>
        <w:pStyle w:val="ListBullet"/>
      </w:pPr>
      <w:r>
        <w:t>签下裁决者代号、日期和规范版本。原始 A/B 文件保留；修订预期时另存新版本，避免覆盖原始判断。</w:t>
      </w:r>
    </w:p>
    <w:p>
      <w:pPr>
        <w:pStyle w:val="Heading2"/>
      </w:pPr>
      <w:r>
        <w:t>交给我的文件</w:t>
      </w:r>
    </w:p>
    <w:p>
      <w:r>
        <w:t>试标阶段交 A/B JSON、C 裁决记录和修订后的判断说明。正式阶段再交材料清单、分组 ID、原文位置、逐轮金标与裁决记录。文件可留在本机受控目录，告诉我路径；无需把真实个人信息粘贴进聊天。</w:t>
      </w:r>
    </w:p>
    <w:p>
      <w:r>
        <w:t>收到后我负责验证格式、列出分歧和缺项、按分子分母统计，并将错误定位到识别、模型动作、转换、安全检查、历史或生成服务。改代码和重训只使用开发数据；正式集一旦用于修复，应另设未见批次进行最终验收。</w:t>
      </w:r>
    </w:p>
    <w:p>
      <w:pPr>
        <w:pStyle w:val="Heading2"/>
      </w:pPr>
      <w:r>
        <w:t>需要你确认的试用标准</w:t>
      </w:r>
    </w:p>
    <w:p>
      <w:r>
        <w:t>建议沿用原方案：42 个正式单元都完成复核，无未解决的高风险分歧；本批禁止信息泄露、应暂停却发送和模型失效仍发送均为 0；误暂停率建议不高于 10%，关键关系正确率建议不低于 90%。这是待负责人在正式执行前确认的内部门槛，不代表行业标准或生产安全保证。</w:t>
      </w:r>
    </w:p>
    <w:p>
      <w:r>
        <w:t>mock 不评价真实回答。真实 API 未通过连接与任务质量验收时，只能确认离线防护流程；分母为 0 写“不适用”。报告必须保留暂停、失败和不确定记录。</w:t>
      </w:r>
    </w:p>
    <w:p>
      <w:pPr>
        <w:pStyle w:val="Heading2"/>
      </w:pPr>
      <w:r>
        <w:t>现在先做的两件事</w:t>
      </w:r>
    </w:p>
    <w:p>
      <w:r>
        <w:t>第一，在本机 app/.env 填入密钥后告诉我“已填好”，我用固定公开短句做一次连接测试。第二，将“打开人工复核.cmd”对应试标页交给 A/B，各自填完后把文件留在本机并告诉我路径。批量真实评测和正式试用在额度与材料范围确认后开展。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隐盾项目执行计划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before="0"/>
    </w:pPr>
    <w:rPr>
      <w:rFonts w:asciiTheme="majorHAnsi" w:eastAsiaTheme="majorEastAsia" w:hAnsiTheme="majorHAnsi" w:cstheme="majorBidi" w:ascii="Calibri" w:hAnsi="Calibri" w:eastAsia="微软雅黑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00"/>
      <w:contextualSpacing/>
    </w:pPr>
    <w:rPr>
      <w:rFonts w:ascii="Calibri" w:hAnsi="Calibri" w:eastAsia="宋体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00"/>
      <w:contextualSpacing/>
    </w:pPr>
    <w:rPr>
      <w:rFonts w:ascii="Calibri" w:hAnsi="Calibri" w:eastAsia="宋体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隐盾项目分工与人工复核执行计划</dc:title>
  <dc:subject>负责人事项与两人独立复核一人裁决的五日安排</dc:subject>
  <dc:creator>隐盾项目组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