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隐盾项目完整报告</w:t>
      </w:r>
    </w:p>
    <w:p>
      <w:pPr>
        <w:pStyle w:val="Subtitle"/>
      </w:pPr>
      <w:r>
        <w:t>统一对话版本</w:t>
      </w:r>
    </w:p>
    <w:p>
      <w:r>
        <w:t>交付日期  2026 年 10 月 13 日    项目阶段  本机功能验证原型</w:t>
      </w:r>
    </w:p>
    <w:p>
      <w:pPr>
        <w:pStyle w:val="Heading1"/>
      </w:pPr>
      <w:r>
        <w:t>一 产品目标与本次交付</w:t>
      </w:r>
    </w:p>
    <w:p>
      <w:r>
        <w:t>隐盾提供一个连续对话入口。用户直接输入问题或上传材料，系统在每轮发送前完成本地识别、模型动作决策、内容转换和安全检查，再将处理后的上下文发送给生成服务。材料脱敏是对话内部的处理步骤，文件分析和连续追问共用同一份历史与代号映射。</w:t>
      </w:r>
    </w:p>
    <w:p>
      <w:r>
        <w:t>本次已将首页改为统一对话，移除独立材料处理页面及双入口导航。旧 /chat 地址跳转到首页，不再形成第二套界面。上传材料可在本轮移出、重新加入或从本机删除；处理动作可在对话内展开查看。</w:t>
      </w:r>
    </w:p>
    <w:p>
      <w:pPr>
        <w:pStyle w:val="Heading2"/>
      </w:pPr>
      <w:r>
        <w:t>用户操作路径</w:t>
      </w:r>
    </w:p>
    <w:p>
      <w:pPr>
        <w:pStyle w:val="ListBullet"/>
      </w:pPr>
      <w:r>
        <w:t>打开首页，确认身份和任务，输入消息或添加材料；第一轮发送时自动创建会话。</w:t>
      </w:r>
    </w:p>
    <w:p>
      <w:pPr>
        <w:pStyle w:val="ListBullet"/>
      </w:pPr>
      <w:r>
        <w:t>点击发送后，系统自动处理本轮文字与附件，并复检完整上下文。任何片段触发暂停，整轮停止。</w:t>
      </w:r>
    </w:p>
    <w:p>
      <w:pPr>
        <w:pStyle w:val="ListBullet"/>
      </w:pPr>
      <w:r>
        <w:t>回答通过检查后显示在同一段对话中。继续补充内容或追问时沿用会话代号，不必重复上传材料。</w:t>
      </w:r>
    </w:p>
    <w:p>
      <w:pPr>
        <w:pStyle w:val="ListBullet"/>
      </w:pPr>
      <w:r>
        <w:t>新对话或清除对话会清除当前历史与映射。上传材料独立保存在本机，可通过侧栏删除。</w:t>
      </w:r>
    </w:p>
    <w:p>
      <w:pPr>
        <w:pStyle w:val="Heading2"/>
      </w:pPr>
      <w:r>
        <w:t>当前交付与验证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交付项</w:t>
            </w:r>
          </w:p>
        </w:tc>
        <w:tc>
          <w:tcPr>
            <w:tcW w:type="dxa" w:w="7257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状态与证据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统一对话界面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已验证上传、两轮对话、附件移出和重加、材料删除、手机宽度布局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动作模型与安全检查</w:t>
            </w:r>
          </w:p>
        </w:tc>
        <w:tc>
          <w:tcPr>
            <w:tcW w:type="dxa" w:w="725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由本地模型选动作，安全检查只能放行或暂停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API 接入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已有兼容接口客户端；已配置用户指定兼容接口和模型；本机密钥为空，真实服务尚未验收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自动化检查</w:t>
            </w:r>
          </w:p>
        </w:tc>
        <w:tc>
          <w:tcPr>
            <w:tcW w:type="dxa" w:w="725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81 项回归、27 个子检查及 38 项冒烟检查通过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完整交付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源码、模型、Windows 运行环境、依赖、合成数据、报告与人工复核方案</w:t>
            </w:r>
          </w:p>
        </w:tc>
      </w:tr>
    </w:tbl>
    <w:p>
      <w:pPr>
        <w:spacing w:after="20"/>
      </w:pPr>
    </w:p>
    <w:p>
      <w:r>
        <w:rPr>
          <w:b/>
        </w:rPr>
        <w:t>当前结论：</w:t>
      </w:r>
      <w:r>
        <w:t>统一产品流程已在本机跑通。项目仍缺少人工独立金标和真实生成服务验收；自动化通过不等于真实材料准确率、零泄露保证或生产就绪。</w:t>
      </w:r>
    </w:p>
    <w:p>
      <w:pPr>
        <w:pStyle w:val="Heading1"/>
        <w:pageBreakBefore/>
      </w:pPr>
      <w:r>
        <w:t>二 本地模型与隐私处理</w:t>
      </w:r>
    </w:p>
    <w:p>
      <w:pPr>
        <w:pStyle w:val="Heading2"/>
      </w:pPr>
      <w:r>
        <w:t>模型职责</w:t>
      </w:r>
    </w:p>
    <w:p>
      <w:r>
        <w:t>本地动作模型是 TF-IDF 加逻辑回归分类器，负责选择处理动作，不是生成式大语言模型。敏感信息识别使用格式规则、词典和表格上下文；可选校园 NER 默认关闭。远端生成服务负责根据检查后的文字作答，本包不包含云端模型权重。</w:t>
      </w:r>
    </w:p>
    <w:p>
      <w:r>
        <w:t>旧版按披露代价优先排序的规则决策已移除。线上直接采用模型唯一最高概率的动作；安全约束拒绝时暂停，不改选第二名，不回退到规则方案。模型缺失、旧权重、异常概率、并列最高概率或推理失败均停止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087"/>
      </w:tblGrid>
      <w:tr>
        <w:trPr>
          <w:cantSplit/>
          <w:tblHeader/>
        </w:trPr>
        <w:tc>
          <w:tcPr>
            <w:tcW w:type="dxa" w:w="2438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7087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执行含义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删除识别出的实体值，尽量保留其他信息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LOCAL_AGGREGATE</w:t>
            </w:r>
          </w:p>
        </w:tc>
        <w:tc>
          <w:tcPr>
            <w:tcW w:type="dxa" w:w="708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在本地汇总，仅发送检查通过的统计内容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GENERALIZE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降低信息精度，仍受类别、任务和接收方限制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PSEUDONYMIZE</w:t>
            </w:r>
          </w:p>
        </w:tc>
        <w:tc>
          <w:tcPr>
            <w:tcW w:type="dxa" w:w="708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对支持的实体替换稳定代号；其他实体按转换器约定删除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RETAIN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仅在身份、任务和接收方约束允许时保留原值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PAUSE</w:t>
            </w:r>
          </w:p>
        </w:tc>
        <w:tc>
          <w:tcPr>
            <w:tcW w:type="dxa" w:w="708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停止整轮；模型或安全校验均可触发</w:t>
            </w:r>
          </w:p>
        </w:tc>
      </w:tr>
    </w:tbl>
    <w:p>
      <w:pPr>
        <w:spacing w:after="20"/>
      </w:pPr>
    </w:p>
    <w:p>
      <w:pPr>
        <w:pStyle w:val="Heading2"/>
      </w:pPr>
      <w:r>
        <w:t>训练资产与指标含义</w:t>
      </w:r>
    </w:p>
    <w:p>
      <w:r>
        <w:t>权重位于 app/models/necessity_action.joblib，约 1 MB。从 210 个合成开发案例形成 10,554 条训练样本变体。按来源分组后，训练 7,878 条、157 组；验证 2,676 条、53 组；来源组重叠为 0。</w:t>
      </w:r>
    </w:p>
    <w:p>
      <w:r>
        <w:t>当前标签由离线规则启动基线生成，分组留出准确率为 0.9922，Macro-F1 为 0.9887，说明模型能复现这批合成标签；不能将其写成真实场景效果。任务自由描述和历史片段已进入特征，但尚缺针对任务变化、指代和上下文积累的人工验证。</w:t>
      </w:r>
    </w:p>
    <w:p>
      <w:pPr>
        <w:pStyle w:val="Heading2"/>
      </w:pPr>
      <w:r>
        <w:t>共享处理链路</w:t>
      </w:r>
    </w:p>
    <w:p>
      <w:r>
        <w:t>文字与附件 → 权限检查 → 敏感识别 → 模型选动作 → 动作安全检查 → 本地转换 → 与历史合并 → 完整载荷检查 → 生成服务 → 回答复检 → 提交历史。没有敏感实体也必须确认本地动作模型可用。</w:t>
      </w:r>
    </w:p>
    <w:p>
      <w:r>
        <w:t>已修正整轮暂停、不同接收方白名单混用、识别器异常被当成无敏感信息、实体替换坐标漂移及重叠区间残留等问题。安全检查仍受检测器覆盖范围限制。</w:t>
      </w:r>
    </w:p>
    <w:p>
      <w:pPr>
        <w:pStyle w:val="Heading1"/>
        <w:pageBreakBefore/>
      </w:pPr>
      <w:r>
        <w:t>三 API 接入状态与运行方式</w:t>
      </w:r>
    </w:p>
    <w:p>
      <w:pPr>
        <w:pStyle w:val="Heading2"/>
      </w:pPr>
      <w:r>
        <w:t>是否已经接 API</w:t>
      </w:r>
    </w:p>
    <w:p>
      <w:r>
        <w:t>已编写并接入生成服务调用代码，统一对话的发送路径会经过该客户端。用户已提供 https://www.ccsub.net/api/v1 兼容地址和 gpt-5.4 模型名。本机设为 real，但密钥为空；自检未发起网络请求，真实云端服务尚未连接。界面显示状态，不把“已配置”表述成“已连通”。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912"/>
        <w:gridCol w:w="3231"/>
      </w:tblGrid>
      <w:tr>
        <w:trPr>
          <w:cantSplit/>
          <w:tblHeader/>
        </w:trPr>
        <w:tc>
          <w:tcPr>
            <w:tcW w:type="dxa" w:w="2381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配置或结果</w:t>
            </w:r>
          </w:p>
        </w:tc>
        <w:tc>
          <w:tcPr>
            <w:tcW w:type="dxa" w:w="3912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实际行为</w:t>
            </w:r>
          </w:p>
        </w:tc>
        <w:tc>
          <w:tcPr>
            <w:tcW w:type="dxa" w:w="3231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界面含义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mock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完全离线返回演示内容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未调用真实 API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real 且密钥存在</w:t>
            </w:r>
          </w:p>
        </w:tc>
        <w:tc>
          <w:tcPr>
            <w:tcW w:type="dxa" w:w="391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向配置地址发起请求，失败则停止</w:t>
            </w:r>
          </w:p>
        </w:tc>
        <w:tc>
          <w:tcPr>
            <w:tcW w:type="dxa" w:w="3231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已配置，发送时连接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real 且密钥缺失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停止生成，不降级演示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API 未配置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auto</w:t>
            </w:r>
          </w:p>
        </w:tc>
        <w:tc>
          <w:tcPr>
            <w:tcW w:type="dxa" w:w="3912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有密钥时尝试真实服务，失败可演示降级</w:t>
            </w:r>
          </w:p>
        </w:tc>
        <w:tc>
          <w:tcPr>
            <w:tcW w:type="dxa" w:w="3231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降级须明确标为离线回复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收到有效回答且复检通过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写入历史并展示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本轮真实 API 调用成功</w:t>
            </w:r>
          </w:p>
        </w:tc>
      </w:tr>
    </w:tbl>
    <w:p>
      <w:pPr>
        <w:spacing w:after="20"/>
      </w:pPr>
    </w:p>
    <w:p>
      <w:pPr>
        <w:pStyle w:val="Heading2"/>
      </w:pPr>
      <w:r>
        <w:t>接口调用约定</w:t>
      </w:r>
    </w:p>
    <w:p>
      <w:r>
        <w:t>客户端以 POST 请求发送到 LLM_BASE_URL 加 /chat/completions，使用 Bearer 密钥，载荷含 model、messages、temperature、max_tokens 和 stream=false。messages 包括服务端系统提示、已处理历史与本轮内容；不发送原值映射。仅展示最终 content，不展示 reasoning_content。</w:t>
      </w:r>
    </w:p>
    <w:p>
      <w:r>
        <w:t>已包含 4 项 HTTP 模拟契约检查和 7 项连接自检检查，验证完整 messages、鉴权头、无密钥阻断、错误内容隔离以及纯推理响应拒绝。模拟 HTTP 通过只能证明代码协议行为；真实地址、可用模型、配额、网络与供应商响应仍待实测。</w:t>
      </w:r>
    </w:p>
    <w:p>
      <w:pPr>
        <w:pStyle w:val="Heading2"/>
      </w:pPr>
      <w:r>
        <w:t>配置和验收步骤</w:t>
      </w:r>
    </w:p>
    <w:p>
      <w:pPr>
        <w:pStyle w:val="ListBullet"/>
      </w:pPr>
      <w:r>
        <w:t>双击根目录“启动隐盾.cmd”，访问 http://127.0.0.1:8787/。共享压缩包使用空密钥 mock 配置；本机工作目录保留 real 配置。</w:t>
      </w:r>
    </w:p>
    <w:p>
      <w:pPr>
        <w:pStyle w:val="ListBullet"/>
      </w:pPr>
      <w:r>
        <w:t>在本机 app/.env 填写 LLM_API_KEY，确认 LLM_MODE=real 后重启。地址和模型名已填好；双击“检查API连接.cmd”仅发送固定公开短句，真实可用性以返回结果为准。</w:t>
      </w:r>
    </w:p>
    <w:p>
      <w:pPr>
        <w:pStyle w:val="ListBullet"/>
      </w:pPr>
      <w:r>
        <w:t>先用不含个人信息的短消息验证连接，再用虚构材料检查两轮上下文。确认界面显示真实 API 成功，同时保留脱敏检查记录。</w:t>
      </w:r>
    </w:p>
    <w:p>
      <w:pPr>
        <w:pStyle w:val="ListBullet"/>
      </w:pPr>
      <w:r>
        <w:t>真实服务验收时使用 real，避免自动降级混入结果。缺少真实回复的案例，其最终回答质量应记为未评估。</w:t>
      </w:r>
    </w:p>
    <w:p>
      <w:r>
        <w:t>本地模型仍独立运行，不需要生成服务密钥；生成服务密钥不能提升本地动作模型的训练质量。密钥不应写入报告、截图或共享交付包。</w:t>
      </w:r>
    </w:p>
    <w:p>
      <w:pPr>
        <w:pStyle w:val="Heading1"/>
        <w:pageBreakBefore/>
      </w:pPr>
      <w:r>
        <w:t>四 会话状态与验证结果</w:t>
      </w:r>
    </w:p>
    <w:p>
      <w:pPr>
        <w:pStyle w:val="Heading2"/>
      </w:pPr>
      <w:r>
        <w:t>数据保存和生命周期</w:t>
      </w:r>
    </w:p>
    <w:p>
      <w:r>
        <w:t>每轮的文字与附件使用同一会话映射；历史只包含转换后的用户消息及通过复检的回答。用于原值匹配的实体记录和映射仍在本机内存中，因此“历史已脱敏”不等于进程完全不保存原值。失败轮不覆盖此前成功历史。</w:t>
      </w:r>
    </w:p>
    <w:p>
      <w:r>
        <w:t>上传解析结果保存在 app/data/uploads，原始二进制不保留。侧栏删除本机材料只删除该解析记录，不撤回已发送内容或改写历史。清除对话删除历史、映射与原值记录，但不自动删除本机材料。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973"/>
      </w:tblGrid>
      <w:tr>
        <w:trPr>
          <w:cantSplit/>
          <w:tblHeader/>
        </w:trPr>
        <w:tc>
          <w:tcPr>
            <w:tcW w:type="dxa" w:w="2551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6973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当前设置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闲置过期与容量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30 分钟；过期会话在后续访问时清理；最多 64 个会话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轮数与文本</w:t>
            </w:r>
          </w:p>
        </w:tc>
        <w:tc>
          <w:tcPr>
            <w:tcW w:type="dxa" w:w="6973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最多 20 轮；本轮材料 24000 字符，上下文 64000 字符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输入界面限制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消息 12000 字符；每轮最多 10 份附件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并发与超限</w:t>
            </w:r>
          </w:p>
        </w:tc>
        <w:tc>
          <w:tcPr>
            <w:tcW w:type="dxa" w:w="6973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同一会话一次一轮；超限暂停，不静默裁掉历史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恢复能力</w:t>
            </w:r>
          </w:p>
        </w:tc>
        <w:tc>
          <w:tcPr>
            <w:tcW w:type="dxa" w:w="6973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刷新页面不自动恢复；服务重启后内存会话丢失</w:t>
            </w:r>
          </w:p>
        </w:tc>
      </w:tr>
    </w:tbl>
    <w:p>
      <w:pPr>
        <w:spacing w:after="20"/>
      </w:pPr>
    </w:p>
    <w:p>
      <w:pPr>
        <w:pStyle w:val="Heading2"/>
      </w:pPr>
      <w:r>
        <w:t>验证记录</w:t>
      </w:r>
    </w:p>
    <w:p>
      <w:r>
        <w:t>本轮使用交付目录中的 Python 运行 81 项回归测试，全部通过，另有 27 个子检查通过。浏览器实测通过统一首页、旧地址跳转、附件管理、两轮脱敏对话、会话清除和手机宽度检查。38 项冒烟检查已重新执行并通过。真实供应商 API 尚未测试。</w:t>
      </w:r>
    </w:p>
    <w:p>
      <w:pPr>
        <w:pStyle w:val="Heading2"/>
      </w:pPr>
      <w:r>
        <w:t>合成材料基线评测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381"/>
        <w:gridCol w:w="1417"/>
        <w:gridCol w:w="3628"/>
      </w:tblGrid>
      <w:tr>
        <w:trPr>
          <w:cantSplit/>
          <w:tblHeader/>
        </w:trPr>
        <w:tc>
          <w:tcPr>
            <w:tcW w:type="dxa" w:w="2098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381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任务完成代理指标</w:t>
            </w:r>
          </w:p>
        </w:tc>
        <w:tc>
          <w:tcPr>
            <w:tcW w:type="dxa" w:w="1417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拦截率</w:t>
            </w:r>
          </w:p>
        </w:tc>
        <w:tc>
          <w:tcPr>
            <w:tcW w:type="dxa" w:w="3628"/>
            <w:vAlign w:val="center"/>
            <w:shd w:fill="29465B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18"/>
              </w:rPr>
              <w:t>检测口径内泄露事件率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统一替换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66.7%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0.0%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固定类别动作</w:t>
            </w:r>
          </w:p>
        </w:tc>
        <w:tc>
          <w:tcPr>
            <w:tcW w:type="dxa" w:w="2381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type="dxa" w:w="1417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0.0%</w:t>
            </w:r>
          </w:p>
        </w:tc>
        <w:tc>
          <w:tcPr>
            <w:tcW w:type="dxa" w:w="3628"/>
            <w:vAlign w:val="center"/>
            <w:shd w:fill="F2F5F7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0.0%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当前模型决策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0.0%</w:t>
            </w:r>
          </w:p>
        </w:tc>
        <w:tc>
          <w:tcPr>
            <w:tcW w:type="dxa" w:w="36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6" w:lineRule="auto"/>
            </w:pPr>
            <w:r>
              <w:rPr>
                <w:sz w:val="18"/>
              </w:rPr>
              <w:t>0.0%</w:t>
            </w:r>
          </w:p>
        </w:tc>
      </w:tr>
    </w:tbl>
    <w:p>
      <w:pPr>
        <w:spacing w:after="20"/>
      </w:pPr>
    </w:p>
    <w:p>
      <w:r>
        <w:t>修复姓名误报并仅用开发集重训后，90 例离线基线的模型方案完成代理指标为 90/90，三个任务各 30/30。此前为 82/90；本批已用于开发排查，不是未见验收集。固定类别对照同为 100%，不能据此声称模型更优或真实多轮准确率达 100%。</w:t>
      </w:r>
    </w:p>
    <w:p>
      <w:pPr>
        <w:pStyle w:val="Heading1"/>
        <w:pageBreakBefore/>
      </w:pPr>
      <w:r>
        <w:t>五 限制与人工复核安排</w:t>
      </w:r>
    </w:p>
    <w:p>
      <w:pPr>
        <w:pStyle w:val="Heading2"/>
      </w:pPr>
      <w:r>
        <w:t>已知问题</w:t>
      </w:r>
    </w:p>
    <w:p>
      <w:pPr>
        <w:pStyle w:val="ListBullet"/>
      </w:pPr>
      <w:r>
        <w:t>“完成海报”中的姓名误报已修复，并增加标签、称谓、复姓、名单和同名重复的回归检查。识别仍依赖启发式，未带标签的人名、复杂指代和生僻姓名需要更多人工样例验证。</w:t>
      </w:r>
    </w:p>
    <w:p>
      <w:pPr>
        <w:pStyle w:val="ListBullet"/>
      </w:pPr>
      <w:r>
        <w:t>动作主要按句决策，混合实体容易被统一处理；尚需实体级选择、跨句关系与多轮指代专项评估。</w:t>
      </w:r>
    </w:p>
    <w:p>
      <w:pPr>
        <w:pStyle w:val="ListBullet"/>
      </w:pPr>
      <w:r>
        <w:t>数据没有人工独立金标，训练与测试共享合成方式；现有测试已用于排查，不能视为完全未见的最终验收集。</w:t>
      </w:r>
    </w:p>
    <w:p>
      <w:pPr>
        <w:pStyle w:val="ListBullet"/>
      </w:pPr>
      <w:r>
        <w:t>人物、事项、期限同时出现不代表对应关系正确；零已检出事件不等于零风险。缺少金标时不报告误拦率。</w:t>
      </w:r>
    </w:p>
    <w:p>
      <w:pPr>
        <w:pStyle w:val="ListBullet"/>
      </w:pPr>
      <w:r>
        <w:t>身份下拉框和随机会话 ID 不等于生产认证；多人部署前需补登录、材料归属和会话鉴权。</w:t>
      </w:r>
    </w:p>
    <w:p>
      <w:pPr>
        <w:pStyle w:val="Heading2"/>
      </w:pPr>
      <w:r>
        <w:t>小规模复核与后续扩充</w:t>
      </w:r>
    </w:p>
    <w:p>
      <w:r>
        <w:t>随包附独立人工复核方案和可填写记录页。先用 3 份材料和 1 组三轮对话试标，统一规则；再锁定 12 份新材料，每份设计两个任务条件，共 24 个请求，另加 6 组三轮对话共 18 轮。正式批次共 42 个请求或轮次。样本是计划数量，尚未完成采集或人工标注。</w:t>
      </w:r>
    </w:p>
    <w:p>
      <w:r>
        <w:t>两名复核者在查看模型结果前分别标出实体、禁止外发值、允许动作集合和必须保留的关系；分歧由已安排的第三人裁决。随后固定模型与配置运行，检查脱敏文本、累计历史和最终回答。</w:t>
      </w:r>
    </w:p>
    <w:p>
      <w:r>
        <w:t>先报告分子和分母，再计算泄露、误放行、误暂停、实体识别和关系保持指标。无真实 API 的回复质量标为未评估；暂停案例单独计入完成率，不得从结果里删掉。完整操作顺序和试用门槛见随包方案。</w:t>
      </w:r>
    </w:p>
    <w:p>
      <w:pPr>
        <w:pStyle w:val="Heading2"/>
      </w:pPr>
      <w:r>
        <w:t>交付与下一步</w:t>
      </w:r>
    </w:p>
    <w:p>
      <w:r>
        <w:t>根目录包含启动、验证、训练脚本与唯一“打开隐盾.url”；app 包含源码、模型和数据；runtime/python 包含 Windows x64 Python 3.12.6 与依赖；报告和验证结果分别保存文档与证据。已在本机验证，尚未在另一台干净电脑验收。</w:t>
      </w:r>
    </w:p>
    <w:p>
      <w:r>
        <w:t>已准备 9 个合成试标单元和离线复核页，以及两份记录的分歧比较工具。先完成试标，再补独立样本；本机填好密钥后进行真实 API 验收。后续在未见材料与累计对话上验证改进，最后决定是否进入多人试用。</w:t>
      </w:r>
    </w:p>
    <w:p>
      <w:r>
        <w:rPr>
          <w:b/>
        </w:rPr>
        <w:t>证据位置：</w:t>
      </w:r>
      <w:r>
        <w:t>验证结果/pytest.xml、网页交互检查.json、材料脱敏评测.json、模型元信息.json 和冒烟测试.txt。此前报告中的 109 项测试、NER F1、FreeAL 与单文件 exe 等历史结论未作为本次验证证据。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隐盾整合交付报告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before="0"/>
    </w:pPr>
    <w:rPr>
      <w:rFonts w:asciiTheme="majorHAnsi" w:eastAsiaTheme="majorEastAsia" w:hAnsiTheme="majorHAnsi" w:cstheme="majorBidi" w:ascii="Calibri" w:hAnsi="Calibri" w:eastAsia="微软雅黑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00"/>
      <w:contextualSpacing/>
    </w:pPr>
    <w:rPr>
      <w:rFonts w:ascii="Calibri" w:hAnsi="Calibri" w:eastAsia="宋体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00"/>
      <w:contextualSpacing/>
    </w:pPr>
    <w:rPr>
      <w:rFonts w:ascii="Calibri" w:hAnsi="Calibri" w:eastAsia="宋体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隐盾项目完整报告</dc:title>
  <dc:subject>统一对话版本交付与验证</dc:subject>
  <dc:creator>隐盾项目组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