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隐盾人工复核方案</w:t>
      </w:r>
    </w:p>
    <w:p>
      <w:pPr>
        <w:pStyle w:val="Subtitle"/>
      </w:pPr>
      <w:r>
        <w:t>统一对话的标注与验收</w:t>
      </w:r>
    </w:p>
    <w:p>
      <w:r>
        <w:t>适用对象  项目开发与复核人员    版本日期  2026 年 10 月 13 日</w:t>
      </w:r>
    </w:p>
    <w:p>
      <w:pPr>
        <w:pStyle w:val="Heading1"/>
      </w:pPr>
      <w:r>
        <w:t>一 人员与样本安排</w:t>
      </w:r>
    </w:p>
    <w:p>
      <w:r>
        <w:t>本方案以少量材料建立可信金标，验证“上传或粘贴 → 自动脱敏 → 连续追问 → 回答”的完整流程。首轮目标是定位错误和判断是否能进入小范围试用，不以小样本推断生产安全性。以下均为拟执行方案，尚未形成已复核数据。</w:t>
      </w:r>
    </w:p>
    <w:p>
      <w:pPr>
        <w:pStyle w:val="Heading2"/>
      </w:pPr>
      <w:r>
        <w:t>人员分工</w:t>
      </w:r>
    </w:p>
    <w:p>
      <w:r>
        <w:t>复核者 A 和 B 分别独立标注，先不看模型动作与回答。人员安排已确认：A、B 两人独立复核，C 一人裁决分歧并记录依据；不能以模型结果裁决。执行人员固定代码、权重和配置，运行案例、保存输出，不替标注者修改金标。</w:t>
      </w:r>
    </w:p>
    <w:p>
      <w:pPr>
        <w:pStyle w:val="Heading2"/>
      </w:pPr>
      <w:r>
        <w:t>最小可执行批次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572"/>
        <w:gridCol w:w="1984"/>
        <w:gridCol w:w="2721"/>
      </w:tblGrid>
      <w:tr>
        <w:trPr>
          <w:cantSplit/>
          <w:tblHeader/>
        </w:trPr>
        <w:tc>
          <w:tcPr>
            <w:tcW w:type="dxa" w:w="1247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572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材料与任务</w:t>
            </w:r>
          </w:p>
        </w:tc>
        <w:tc>
          <w:tcPr>
            <w:tcW w:type="dxa" w:w="1984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对话</w:t>
            </w:r>
          </w:p>
        </w:tc>
        <w:tc>
          <w:tcPr>
            <w:tcW w:type="dxa" w:w="2721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试标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3 份材料，每份 2 个任务条件，共 6 个请求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1 组 × 3 轮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修订标注说明，不计最终验收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正式复核</w:t>
            </w:r>
          </w:p>
        </w:tc>
        <w:tc>
          <w:tcPr>
            <w:tcW w:type="dxa" w:w="3572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12 份新材料，每份 2 个任务条件，共 24 个请求</w:t>
            </w:r>
          </w:p>
        </w:tc>
        <w:tc>
          <w:tcPr>
            <w:tcW w:type="dxa" w:w="198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6 组 × 3 轮，共 18 轮</w:t>
            </w:r>
          </w:p>
        </w:tc>
        <w:tc>
          <w:tcPr>
            <w:tcW w:type="dxa" w:w="2721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锁定后验收，共 42 个请求或轮次</w:t>
            </w:r>
          </w:p>
        </w:tc>
      </w:tr>
    </w:tbl>
    <w:p>
      <w:pPr>
        <w:spacing w:after="20"/>
      </w:pPr>
    </w:p>
    <w:p>
      <w:r>
        <w:t>12 份材料按活动统计、会议纪要、项目介绍各 4 份选取，混合正文、表格和跨句表达。每份材料设置两个有明确差异的任务条件；同一材料及其所有变体属于同一组，不跨训练和验收集。对话材料也应与试标、开发材料独立。</w:t>
      </w:r>
    </w:p>
    <w:p>
      <w:r>
        <w:t>没有足够真实材料时，可以人工新写虚构案例并标为合成来源，再由两人复核；不能把已有训练样本原文改名后称为独立测试。真实材料须经授权并去除不必要的真实身份信息，保留复核所需结构。</w:t>
      </w:r>
    </w:p>
    <w:p>
      <w:pPr>
        <w:pStyle w:val="Heading2"/>
      </w:pPr>
      <w:r>
        <w:t>六组对话必须覆盖</w:t>
      </w:r>
    </w:p>
    <w:p>
      <w:pPr>
        <w:pStyle w:val="ListBullet"/>
      </w:pPr>
      <w:r>
        <w:t>补充同一人物的新任务；新增人物并保持旧代号；代词和省略指代。</w:t>
      </w:r>
    </w:p>
    <w:p>
      <w:pPr>
        <w:pStyle w:val="ListBullet"/>
      </w:pPr>
      <w:r>
        <w:t>上传表格后追问汇总；要求恢复姓名或联系方式；多轮分别提供信息导致累计识别风险。</w:t>
      </w:r>
    </w:p>
    <w:p>
      <w:r>
        <w:t>另单列故障检查：模型缺失、API 无密钥或失败、超长上下文、重复提交。故障案例验证停止机制，不与业务准确率混算。含材料准备、标注和裁决的工作量预计 12–18 人时，试标后再调整。分日执行见配套《隐盾项目分工与人工复核执行计划》。</w:t>
      </w:r>
    </w:p>
    <w:p>
      <w:pPr>
        <w:pStyle w:val="Heading1"/>
        <w:pageBreakBefore/>
      </w:pPr>
      <w:r>
        <w:t>二 金标怎么写</w:t>
      </w:r>
    </w:p>
    <w:p>
      <w:pPr>
        <w:pStyle w:val="Heading2"/>
      </w:pPr>
      <w:r>
        <w:t>先标预期再看输出</w:t>
      </w:r>
    </w:p>
    <w:p>
      <w:r>
        <w:t>每个案例先记录身份、任务、完整任务要求、接收方和全部原始轮次。当前界面的外发接收方固定为外部生成服务；其他接收方需要单独的接口测试，不能假装已在当前页面覆盖。原始输入保存在本机受控复核目录，不放进公共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0"/>
      </w:tblGrid>
      <w:tr>
        <w:trPr>
          <w:cantSplit/>
          <w:tblHeader/>
        </w:trPr>
        <w:tc>
          <w:tcPr>
            <w:tcW w:type="dxa" w:w="1814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标注对象</w:t>
            </w:r>
          </w:p>
        </w:tc>
        <w:tc>
          <w:tcPr>
            <w:tcW w:type="dxa" w:w="7710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必须填写的内容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实体</w:t>
            </w:r>
          </w:p>
        </w:tc>
        <w:tc>
          <w:tcPr>
            <w:tcW w:type="dxa" w:w="77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原文、精确起止位置、类别；重复出现分别标记。按 Unicode 字符从 0 计数，使用左闭右开区间，原文[start:end] 应等于实体值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披露限制</w:t>
            </w:r>
          </w:p>
        </w:tc>
        <w:tc>
          <w:tcPr>
            <w:tcW w:type="dxa" w:w="7710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本轮及累计历史禁止外发的原值、允许保留的信息和依据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允许动作</w:t>
            </w:r>
          </w:p>
        </w:tc>
        <w:tc>
          <w:tcPr>
            <w:tcW w:type="dxa" w:w="77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按片段或实体列出允许动作集合，说明哪些动作虽安全但破坏任务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请求结论</w:t>
            </w:r>
          </w:p>
        </w:tc>
        <w:tc>
          <w:tcPr>
            <w:tcW w:type="dxa" w:w="7710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是否应放行；如应暂停，写明缺少权限、风险或必要信息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任务和关系</w:t>
            </w:r>
          </w:p>
        </w:tc>
        <w:tc>
          <w:tcPr>
            <w:tcW w:type="dxa" w:w="771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必须保留的事实、人物与事项及期限的对应关系、合格回答要点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多轮状态</w:t>
            </w:r>
          </w:p>
        </w:tc>
        <w:tc>
          <w:tcPr>
            <w:tcW w:type="dxa" w:w="7710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每轮新增信息、指代对象、应沿用的代号、累计禁止信息</w:t>
            </w:r>
          </w:p>
        </w:tc>
      </w:tr>
    </w:tbl>
    <w:p>
      <w:pPr>
        <w:spacing w:after="20"/>
      </w:pPr>
    </w:p>
    <w:p>
      <w:pPr>
        <w:pStyle w:val="Heading2"/>
      </w:pPr>
      <w:r>
        <w:t>动作判定原则</w:t>
      </w:r>
    </w:p>
    <w:p>
      <w:r>
        <w:t>DELETE 用于不应发送且对任务不必要的实体；LOCAL_AGGREGATE 用于只需统计结果的名单；GENERALIZE 用于可降低精度的内容；PSEUDONYMIZE 用于需要保留关系而不需要身份的内容；RETAIN 仅在任务和授权允许时使用；PAUSE 用于无法安全完成或必要条件缺失的请求。不要把固定类别动作当成人工结论。</w:t>
      </w:r>
    </w:p>
    <w:p>
      <w:r>
        <w:t>同一片段可能有多个合格动作，标注允许集合比强行指定一个动作更合理。当前模型按句选择动作；人工可以标注实体级理想结果，评估时分别报告句级实现的限制和可执行金标，不能把粒度差异隐藏掉。</w:t>
      </w:r>
    </w:p>
    <w:p>
      <w:pPr>
        <w:pStyle w:val="Heading2"/>
      </w:pPr>
      <w:r>
        <w:t>试标示例</w:t>
      </w:r>
    </w:p>
    <w:p>
      <w:r>
        <w:t>虚构输入：“负责人：张明。任务：海报设计，期限：2026年10月20日。电话13812345678。”任务为整理对外模型使用的会议纪要。应遮盖姓名和电话；姓名可用稳定代号，保留事项与期限及其关系。电话不应因姓名采取代号化而残留。</w:t>
      </w:r>
    </w:p>
    <w:p>
      <w:r>
        <w:t>如果“完成海报”中的“成海报”被标为姓名，应记录普通词误报和任务信息损失；如果姓名改了代号但事项对应到另一人，应记录关系错误。即使没有直接原值泄露，也不能判作完全通过。</w:t>
      </w:r>
    </w:p>
    <w:p>
      <w:pPr>
        <w:pStyle w:val="Heading1"/>
        <w:pageBreakBefore/>
      </w:pPr>
      <w:r>
        <w:t>三 执行顺序与指标</w:t>
      </w:r>
    </w:p>
    <w:p>
      <w:pPr>
        <w:pStyle w:val="Heading2"/>
      </w:pPr>
      <w:r>
        <w:t>一次完整复核</w:t>
      </w:r>
    </w:p>
    <w:p>
      <w:pPr>
        <w:pStyle w:val="ListBullet"/>
      </w:pPr>
      <w:r>
        <w:t>第一步：A、B 独立完成第 4 页记录表的金标部分。比较差异，试标阶段修订说明；正式阶段记录裁决并锁定金标。</w:t>
      </w:r>
    </w:p>
    <w:p>
      <w:pPr>
        <w:pStyle w:val="ListBullet"/>
      </w:pPr>
      <w:r>
        <w:t>第二步：记录代码版本、模型 SHA256、配置和运行模式；关闭调参，不使用正式批次重训。每个独立案例新建对话，多轮案例必须连续执行。</w:t>
      </w:r>
    </w:p>
    <w:p>
      <w:pPr>
        <w:pStyle w:val="ListBullet"/>
      </w:pPr>
      <w:r>
        <w:t>第三步：逐轮保存原始输入、本轮处理后的文字、完整发送载荷、回答和暂停理由。界面可查看处理后的消息与动作；合成试标工具可导出通过前置校验后交给生成适配器的完整 messages；真实模式才代表尝试网络请求，网页对话入口仍未提供通用载荷导出。</w:t>
      </w:r>
    </w:p>
    <w:p>
      <w:pPr>
        <w:pStyle w:val="ListBullet"/>
      </w:pPr>
      <w:r>
        <w:t>第四步：对照金标检查实体边界、动作、全部历史中的禁止值、代号一致性、关系和回答。A、B 独立评分后裁决。供应商请求与日志不保存密钥。</w:t>
      </w:r>
    </w:p>
    <w:p>
      <w:pPr>
        <w:pStyle w:val="ListBullet"/>
      </w:pPr>
      <w:r>
        <w:t>第五步：将错误定位到识别、模型决策、转换、网关、历史或生成服务；修改只能在开发数据上进行。正式验收集被用于修复后，要另建未见批次重新验收。</w:t>
      </w:r>
    </w:p>
    <w:p>
      <w:pPr>
        <w:pStyle w:val="Heading2"/>
      </w:pPr>
      <w:r>
        <w:t>计算口径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7427"/>
      </w:tblGrid>
      <w:tr>
        <w:trPr>
          <w:cantSplit/>
          <w:tblHeader/>
        </w:trPr>
        <w:tc>
          <w:tcPr>
            <w:tcW w:type="dxa" w:w="2098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427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分子与分母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实体识别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严格匹配类别与边界的 TP；Precision=TP/预测实体数，Recall=TP/金标实体数；重复实体按位置计算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动作合格率</w:t>
            </w:r>
          </w:p>
        </w:tc>
        <w:tc>
          <w:tcPr>
            <w:tcW w:type="dxa" w:w="7427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模型动作属于人工允许集合的片段数 / 已标注且可按当前粒度比较的片段数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误放行率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人工判应暂停却实际发送的请求数 / 人工判应暂停的请求数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误暂停率</w:t>
            </w:r>
          </w:p>
        </w:tc>
        <w:tc>
          <w:tcPr>
            <w:tcW w:type="dxa" w:w="7427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人工判可安全放行却实际暂停的请求数 / 人工判可放行的请求数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泄露事件率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实际载荷含禁止值或被人工确认可识别泄露的请求数 / 实际外发请求数；回答泄露另列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任务完成与关系</w:t>
            </w:r>
          </w:p>
        </w:tc>
        <w:tc>
          <w:tcPr>
            <w:tcW w:type="dxa" w:w="7427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达成金标要点的请求数 / 应可完成的请求数；暂停按未完成。关系正确数 / 金标关系数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多轮一致性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代号与指代均正确的跨轮引用数 / 金标跨轮引用数；另列整段对话通过率</w:t>
            </w:r>
          </w:p>
        </w:tc>
      </w:tr>
    </w:tbl>
    <w:p>
      <w:pPr>
        <w:spacing w:after="20"/>
      </w:pPr>
    </w:p>
    <w:p>
      <w:r>
        <w:t>分母为 0 时写“不适用”，不要写 100%。未接真实 API 时，真实回答质量写“未评估”；离线回声不计作任务完成。报告原始数量、错误案例和 A/B 裁决前一致率，不能只报平均分。</w:t>
      </w:r>
    </w:p>
    <w:p>
      <w:pPr>
        <w:pStyle w:val="Heading1"/>
        <w:pageBreakBefore/>
      </w:pPr>
      <w:r>
        <w:t>四 复核记录与试用门槛</w:t>
      </w:r>
    </w:p>
    <w:p>
      <w:pPr>
        <w:pStyle w:val="Heading2"/>
      </w:pPr>
      <w:r>
        <w:t>单案例记录页</w:t>
      </w:r>
    </w:p>
    <w:p>
      <w:r>
        <w:t>复制本页用于每个独立请求；三轮对话按同一案例 ID 附三份逐轮记录。先填写金标部分，锁定后再填写系统结果。</w:t>
      </w:r>
    </w:p>
    <w:p>
      <w:r>
        <w:t>案例 ID __________    来源组 __________    试标或正式 __________</w:t>
      </w:r>
    </w:p>
    <w:p>
      <w:r>
        <w:t>来源与授权说明 ____________________    复核者 A ____ B ____    日期 __________</w:t>
      </w:r>
    </w:p>
    <w:p>
      <w:r>
        <w:t>身份 __________    任务与完整要求 ____________________    接收方 __________</w:t>
      </w:r>
    </w:p>
    <w:p>
      <w:r>
        <w:t>轮次与原文文件位置 ____________________    前序上下文 ____________________</w:t>
      </w:r>
    </w:p>
    <w:p>
      <w:pPr>
        <w:pStyle w:val="Heading2"/>
      </w:pPr>
      <w:r>
        <w:t>金标部分</w:t>
      </w:r>
    </w:p>
    <w:p>
      <w:r>
        <w:t>实体原文、类别与位置 _________________________________________________</w:t>
      </w:r>
    </w:p>
    <w:p>
      <w:r>
        <w:t>禁止外发的信息 _______________________________________________________</w:t>
      </w:r>
    </w:p>
    <w:p>
      <w:r>
        <w:t>允许动作集合及理由 ___________________________________________________</w:t>
      </w:r>
    </w:p>
    <w:p>
      <w:r>
        <w:t>应放行或暂停及依据 ___________________________________________________</w:t>
      </w:r>
    </w:p>
    <w:p>
      <w:r>
        <w:t>必须保留的事实与关系 _________________________________________________</w:t>
      </w:r>
    </w:p>
    <w:p>
      <w:pPr>
        <w:pStyle w:val="Heading2"/>
      </w:pPr>
      <w:r>
        <w:t>系统结果与裁决</w:t>
      </w:r>
    </w:p>
    <w:p>
      <w:r>
        <w:t>代码版本与模型哈希 ____________________    模式 mock 或 real __________</w:t>
      </w:r>
    </w:p>
    <w:p>
      <w:r>
        <w:t>处理文本、发送载荷和回答记录位置 _____________________________________</w:t>
      </w:r>
    </w:p>
    <w:p>
      <w:r>
        <w:t>实际动作与暂停理由 ___________________________________________________</w:t>
      </w:r>
    </w:p>
    <w:p>
      <w:r>
        <w:t>泄露／误暂停／识别／动作／关系／回答错误 ______________________________</w:t>
      </w:r>
    </w:p>
    <w:p>
      <w:r>
        <w:t>A 判断 __________    B 判断 __________    分歧及最终裁决 _______________</w:t>
      </w:r>
    </w:p>
    <w:p>
      <w:r>
        <w:t>修复责任人与回归案例 ID _______________________________________________</w:t>
      </w:r>
    </w:p>
    <w:p>
      <w:pPr>
        <w:pStyle w:val="Heading2"/>
      </w:pPr>
      <w:r>
        <w:t>首轮内部试用门槛建议</w:t>
      </w:r>
    </w:p>
    <w:p>
      <w:r>
        <w:t>正式 42 个请求或轮次均完成复核，无未解决的高风险分歧；已检出的禁止值泄露和应暂停却发送事件为 0；模型失效仍发送为 0。人工判可放行请求中的误暂停率建议不高于 10%，关键人物与任务关系正确率建议不低于 90%。这些是拟定的内部试用门槛，应在正式执行前确认并锁定，不能事后为通过而修改。</w:t>
      </w:r>
    </w:p>
    <w:p>
      <w:r>
        <w:t>未完成真实 API 验收时，只能通过离线防护流程试用，不能通过真实回答能力验收。任何直接敏感值泄露先修复再测试；小样本无事件只能表述为“本批次未发现”，不能宣称生产零风险。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隐盾人工复核方案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Calibri" w:hAnsi="Calibri" w:eastAsia="宋体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before="0"/>
    </w:pPr>
    <w:rPr>
      <w:rFonts w:asciiTheme="majorHAnsi" w:eastAsiaTheme="majorEastAsia" w:hAnsiTheme="majorHAnsi" w:cstheme="majorBidi" w:ascii="Calibri" w:hAnsi="Calibri" w:eastAsia="微软雅黑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100"/>
      <w:contextualSpacing/>
    </w:pPr>
    <w:rPr>
      <w:rFonts w:ascii="Calibri" w:hAnsi="Calibri" w:eastAsia="宋体"/>
      <w:b w:val="0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100"/>
      <w:contextualSpacing/>
    </w:pPr>
    <w:rPr>
      <w:rFonts w:ascii="Calibri" w:hAnsi="Calibri" w:eastAsia="宋体"/>
      <w:b w:val="0"/>
      <w:i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隐盾人工复核方案</dc:title>
  <dc:subject>统一对话的标注试行与独立验收</dc:subject>
  <dc:creator>隐盾项目组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