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Calibri" w:cs="Calibri" w:eastAsia="Calibri" w:hAnsi="Calibri"/>
          <w:b w:val="1"/>
          <w:sz w:val="22"/>
          <w:szCs w:val="22"/>
        </w:rPr>
      </w:pPr>
      <w:r w:rsidDel="00000000" w:rsidR="00000000" w:rsidRPr="00000000">
        <w:rPr>
          <w:rtl w:val="0"/>
        </w:rPr>
      </w:r>
    </w:p>
    <w:p w:rsidR="00000000" w:rsidDel="00000000" w:rsidP="00000000" w:rsidRDefault="00000000" w:rsidRPr="00000000" w14:paraId="00000002">
      <w:pPr>
        <w:shd w:fill="d4d4d4" w:val="clear"/>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b w:val="1"/>
          <w:sz w:val="32"/>
          <w:szCs w:val="32"/>
          <w:rtl w:val="0"/>
        </w:rPr>
        <w:t xml:space="preserve">Prueba Wilcoxon para muestras relacionadas</w:t>
      </w: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12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equipo de ingeniería de sistemas quiere determinar si la actualización de hardware de un servidor ha reducido significativamente el tiempo de respuesta para procesar solicitudes. A un margen de error del 5% ¿Hay diferencias significativas respecto a los tiempos de respuesta (en milisegundos) antes y después de la actualización de hardware para el mismo conjunto de solicitudes?</w:t>
      </w:r>
    </w:p>
    <w:tbl>
      <w:tblPr>
        <w:tblStyle w:val="Table1"/>
        <w:tblW w:w="8910.0" w:type="dxa"/>
        <w:jc w:val="left"/>
        <w:tblInd w:w="465.0" w:type="dxa"/>
        <w:tblLayout w:type="fixed"/>
        <w:tblLook w:val="0400"/>
      </w:tblPr>
      <w:tblGrid>
        <w:gridCol w:w="4725"/>
        <w:gridCol w:w="390"/>
        <w:gridCol w:w="420"/>
        <w:gridCol w:w="435"/>
        <w:gridCol w:w="390"/>
        <w:gridCol w:w="405"/>
        <w:gridCol w:w="405"/>
        <w:gridCol w:w="405"/>
        <w:gridCol w:w="420"/>
        <w:gridCol w:w="405"/>
        <w:gridCol w:w="510"/>
        <w:tblGridChange w:id="0">
          <w:tblGrid>
            <w:gridCol w:w="4725"/>
            <w:gridCol w:w="390"/>
            <w:gridCol w:w="420"/>
            <w:gridCol w:w="435"/>
            <w:gridCol w:w="390"/>
            <w:gridCol w:w="405"/>
            <w:gridCol w:w="405"/>
            <w:gridCol w:w="405"/>
            <w:gridCol w:w="420"/>
            <w:gridCol w:w="405"/>
            <w:gridCol w:w="510"/>
          </w:tblGrid>
        </w:tblGridChange>
      </w:tblGrid>
      <w:tr>
        <w:trPr>
          <w:cantSplit w:val="0"/>
          <w:trHeight w:val="290" w:hRule="atLeast"/>
          <w:tblHeader w:val="0"/>
        </w:trPr>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004">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Tiempos de Respuesta Antes de la Actualización:</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5">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80</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6">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75</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7">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78</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8">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82</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9">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79</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A">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81</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B">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77</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C">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71</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D">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80</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0E">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78</w:t>
            </w:r>
          </w:p>
        </w:tc>
      </w:tr>
      <w:tr>
        <w:trPr>
          <w:cantSplit w:val="0"/>
          <w:trHeight w:val="290"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00F">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Tiempos de Respuesta Después de la Actualización:</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0">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1">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68</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2">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69</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3">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71</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4">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67</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5">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6">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68</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7">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69</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8">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70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19">
            <w:pPr>
              <w:spacing w:after="0" w:line="240" w:lineRule="auto"/>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69</w:t>
            </w:r>
          </w:p>
        </w:tc>
      </w:tr>
    </w:tbl>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B">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1.</w:t>
      </w:r>
      <w:r w:rsidDel="00000000" w:rsidR="00000000" w:rsidRPr="00000000">
        <w:rPr>
          <w:rFonts w:ascii="Arial" w:cs="Arial" w:eastAsia="Arial" w:hAnsi="Arial"/>
          <w:sz w:val="14"/>
          <w:szCs w:val="14"/>
          <w:rtl w:val="0"/>
        </w:rPr>
        <w:t xml:space="preserve">  </w:t>
        <w:tab/>
      </w:r>
      <w:r w:rsidDel="00000000" w:rsidR="00000000" w:rsidRPr="00000000">
        <w:rPr>
          <w:rFonts w:ascii="Arial" w:cs="Arial" w:eastAsia="Arial" w:hAnsi="Arial"/>
          <w:sz w:val="22"/>
          <w:szCs w:val="22"/>
          <w:rtl w:val="0"/>
        </w:rPr>
        <w:t xml:space="preserve">Planteamiento de hipótesis</w:t>
      </w:r>
    </w:p>
    <w:p w:rsidR="00000000" w:rsidDel="00000000" w:rsidP="00000000" w:rsidRDefault="00000000" w:rsidRPr="00000000" w14:paraId="0000001C">
      <w:pPr>
        <w:spacing w:after="240" w:before="240" w:line="276" w:lineRule="auto"/>
        <w:ind w:left="18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w:t>
      </w:r>
      <w:r w:rsidDel="00000000" w:rsidR="00000000" w:rsidRPr="00000000">
        <w:rPr>
          <w:rFonts w:ascii="Arial" w:cs="Arial" w:eastAsia="Arial" w:hAnsi="Arial"/>
          <w:sz w:val="14"/>
          <w:szCs w:val="14"/>
          <w:rtl w:val="0"/>
        </w:rPr>
        <w:t xml:space="preserve">  </w:t>
        <w:tab/>
      </w:r>
      <w:r w:rsidDel="00000000" w:rsidR="00000000" w:rsidRPr="00000000">
        <w:rPr>
          <w:rFonts w:ascii="Arial" w:cs="Arial" w:eastAsia="Arial" w:hAnsi="Arial"/>
          <w:sz w:val="22"/>
          <w:szCs w:val="22"/>
          <w:rtl w:val="0"/>
        </w:rPr>
        <w:t xml:space="preserve">H0: No existe diferencias significativas respecto a los tiempos de respuesta (en milisegundos) antes y después de la actualización del hardware</w:t>
      </w:r>
    </w:p>
    <w:p w:rsidR="00000000" w:rsidDel="00000000" w:rsidP="00000000" w:rsidRDefault="00000000" w:rsidRPr="00000000" w14:paraId="0000001D">
      <w:pPr>
        <w:spacing w:after="240" w:before="240" w:line="276" w:lineRule="auto"/>
        <w:ind w:left="18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w:t>
      </w:r>
      <w:r w:rsidDel="00000000" w:rsidR="00000000" w:rsidRPr="00000000">
        <w:rPr>
          <w:rFonts w:ascii="Arial" w:cs="Arial" w:eastAsia="Arial" w:hAnsi="Arial"/>
          <w:sz w:val="14"/>
          <w:szCs w:val="14"/>
          <w:rtl w:val="0"/>
        </w:rPr>
        <w:t xml:space="preserve"> </w:t>
        <w:tab/>
      </w:r>
      <w:r w:rsidDel="00000000" w:rsidR="00000000" w:rsidRPr="00000000">
        <w:rPr>
          <w:rFonts w:ascii="Arial" w:cs="Arial" w:eastAsia="Arial" w:hAnsi="Arial"/>
          <w:sz w:val="22"/>
          <w:szCs w:val="22"/>
          <w:rtl w:val="0"/>
        </w:rPr>
        <w:t xml:space="preserve">H1: Existe diferencias significativas respecto a los tiempos de respuesta (en milisegundos) antes y después de la actualización del hardware</w:t>
      </w:r>
    </w:p>
    <w:p w:rsidR="00000000" w:rsidDel="00000000" w:rsidP="00000000" w:rsidRDefault="00000000" w:rsidRPr="00000000" w14:paraId="0000001E">
      <w:pPr>
        <w:spacing w:after="240" w:before="240" w:line="276" w:lineRule="auto"/>
        <w:ind w:left="18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Hipótesis estadística: </w:t>
      </w:r>
    </w:p>
    <w:p w:rsidR="00000000" w:rsidDel="00000000" w:rsidP="00000000" w:rsidRDefault="00000000" w:rsidRPr="00000000" w14:paraId="0000001F">
      <w:pPr>
        <w:spacing w:after="240" w:before="240" w:line="276" w:lineRule="auto"/>
        <w:ind w:left="18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h0: MeA = MeB </w:t>
      </w:r>
    </w:p>
    <w:p w:rsidR="00000000" w:rsidDel="00000000" w:rsidP="00000000" w:rsidRDefault="00000000" w:rsidRPr="00000000" w14:paraId="00000020">
      <w:pPr>
        <w:spacing w:after="240" w:before="240" w:line="276" w:lineRule="auto"/>
        <w:ind w:left="1800" w:hanging="360"/>
        <w:rPr>
          <w:rFonts w:ascii="Arial" w:cs="Arial" w:eastAsia="Arial" w:hAnsi="Arial"/>
          <w:sz w:val="22"/>
          <w:szCs w:val="22"/>
        </w:rPr>
      </w:pPr>
      <w:sdt>
        <w:sdtPr>
          <w:id w:val="855837797"/>
          <w:tag w:val="goog_rdk_0"/>
        </w:sdtPr>
        <w:sdtContent>
          <w:r w:rsidDel="00000000" w:rsidR="00000000" w:rsidRPr="00000000">
            <w:rPr>
              <w:rFonts w:ascii="Arial Unicode MS" w:cs="Arial Unicode MS" w:eastAsia="Arial Unicode MS" w:hAnsi="Arial Unicode MS"/>
              <w:sz w:val="22"/>
              <w:szCs w:val="22"/>
              <w:rtl w:val="0"/>
            </w:rPr>
            <w:t xml:space="preserve">h1: MeA  ≠ MeB</w:t>
          </w:r>
        </w:sdtContent>
      </w:sdt>
    </w:p>
    <w:p w:rsidR="00000000" w:rsidDel="00000000" w:rsidP="00000000" w:rsidRDefault="00000000" w:rsidRPr="00000000" w14:paraId="00000021">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2.</w:t>
      </w:r>
      <w:r w:rsidDel="00000000" w:rsidR="00000000" w:rsidRPr="00000000">
        <w:rPr>
          <w:rFonts w:ascii="Arial" w:cs="Arial" w:eastAsia="Arial" w:hAnsi="Arial"/>
          <w:sz w:val="14"/>
          <w:szCs w:val="14"/>
          <w:rtl w:val="0"/>
        </w:rPr>
        <w:t xml:space="preserve">  </w:t>
        <w:tab/>
      </w:r>
      <w:r w:rsidDel="00000000" w:rsidR="00000000" w:rsidRPr="00000000">
        <w:rPr>
          <w:rFonts w:ascii="Arial" w:cs="Arial" w:eastAsia="Arial" w:hAnsi="Arial"/>
          <w:sz w:val="22"/>
          <w:szCs w:val="22"/>
          <w:rtl w:val="0"/>
        </w:rPr>
        <w:t xml:space="preserve">Establecer el nivel de significancia</w:t>
      </w:r>
    </w:p>
    <w:p w:rsidR="00000000" w:rsidDel="00000000" w:rsidP="00000000" w:rsidRDefault="00000000" w:rsidRPr="00000000" w14:paraId="00000022">
      <w:pPr>
        <w:spacing w:after="240" w:before="240" w:line="276" w:lineRule="auto"/>
        <w:ind w:left="18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w:t>
      </w:r>
      <w:r w:rsidDel="00000000" w:rsidR="00000000" w:rsidRPr="00000000">
        <w:rPr>
          <w:rFonts w:ascii="Arial" w:cs="Arial" w:eastAsia="Arial" w:hAnsi="Arial"/>
          <w:sz w:val="14"/>
          <w:szCs w:val="14"/>
          <w:rtl w:val="0"/>
        </w:rPr>
        <w:t xml:space="preserve">  </w:t>
        <w:tab/>
      </w:r>
      <w:r w:rsidDel="00000000" w:rsidR="00000000" w:rsidRPr="00000000">
        <w:rPr>
          <w:rFonts w:ascii="Arial" w:cs="Arial" w:eastAsia="Arial" w:hAnsi="Arial"/>
          <w:sz w:val="22"/>
          <w:szCs w:val="22"/>
          <w:rtl w:val="0"/>
        </w:rPr>
        <w:t xml:space="preserve">5%</w:t>
      </w:r>
    </w:p>
    <w:p w:rsidR="00000000" w:rsidDel="00000000" w:rsidP="00000000" w:rsidRDefault="00000000" w:rsidRPr="00000000" w14:paraId="00000023">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3.</w:t>
      </w:r>
      <w:r w:rsidDel="00000000" w:rsidR="00000000" w:rsidRPr="00000000">
        <w:rPr>
          <w:rFonts w:ascii="Arial" w:cs="Arial" w:eastAsia="Arial" w:hAnsi="Arial"/>
          <w:sz w:val="14"/>
          <w:szCs w:val="14"/>
          <w:rtl w:val="0"/>
        </w:rPr>
        <w:t xml:space="preserve">  </w:t>
        <w:tab/>
      </w:r>
      <w:r w:rsidDel="00000000" w:rsidR="00000000" w:rsidRPr="00000000">
        <w:rPr>
          <w:rFonts w:ascii="Arial" w:cs="Arial" w:eastAsia="Arial" w:hAnsi="Arial"/>
          <w:sz w:val="22"/>
          <w:szCs w:val="22"/>
          <w:rtl w:val="0"/>
        </w:rPr>
        <w:t xml:space="preserve">Realizar el análisis exploratorio de datos</w:t>
      </w:r>
    </w:p>
    <w:p w:rsidR="00000000" w:rsidDel="00000000" w:rsidP="00000000" w:rsidRDefault="00000000" w:rsidRPr="00000000" w14:paraId="00000024">
      <w:pPr>
        <w:spacing w:after="240" w:before="240" w:line="276" w:lineRule="auto"/>
        <w:ind w:left="1800" w:hanging="360"/>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305300" cy="2400300"/>
            <wp:effectExtent b="0" l="0" r="0" t="0"/>
            <wp:docPr id="1171561230"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43053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4.</w:t>
      </w:r>
      <w:r w:rsidDel="00000000" w:rsidR="00000000" w:rsidRPr="00000000">
        <w:rPr>
          <w:rFonts w:ascii="Arial" w:cs="Arial" w:eastAsia="Arial" w:hAnsi="Arial"/>
          <w:sz w:val="14"/>
          <w:szCs w:val="14"/>
          <w:rtl w:val="0"/>
        </w:rPr>
        <w:t xml:space="preserve">  </w:t>
        <w:tab/>
      </w:r>
      <w:r w:rsidDel="00000000" w:rsidR="00000000" w:rsidRPr="00000000">
        <w:rPr>
          <w:rFonts w:ascii="Arial" w:cs="Arial" w:eastAsia="Arial" w:hAnsi="Arial"/>
          <w:sz w:val="22"/>
          <w:szCs w:val="22"/>
          <w:rtl w:val="0"/>
        </w:rPr>
        <w:t xml:space="preserve">Calcular la variable diferencia</w:t>
      </w:r>
    </w:p>
    <w:p w:rsidR="00000000" w:rsidDel="00000000" w:rsidP="00000000" w:rsidRDefault="00000000" w:rsidRPr="00000000" w14:paraId="00000026">
      <w:pPr>
        <w:spacing w:after="240" w:before="240" w:line="276" w:lineRule="auto"/>
        <w:ind w:left="1800" w:hanging="360"/>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2695575" cy="2457450"/>
            <wp:effectExtent b="0" l="0" r="0" t="0"/>
            <wp:docPr id="117156122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2695575"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5.</w:t>
      </w:r>
      <w:r w:rsidDel="00000000" w:rsidR="00000000" w:rsidRPr="00000000">
        <w:rPr>
          <w:rFonts w:ascii="Arial" w:cs="Arial" w:eastAsia="Arial" w:hAnsi="Arial"/>
          <w:sz w:val="14"/>
          <w:szCs w:val="14"/>
          <w:rtl w:val="0"/>
        </w:rPr>
        <w:t xml:space="preserve">  </w:t>
        <w:tab/>
      </w:r>
      <w:r w:rsidDel="00000000" w:rsidR="00000000" w:rsidRPr="00000000">
        <w:rPr>
          <w:rFonts w:ascii="Arial" w:cs="Arial" w:eastAsia="Arial" w:hAnsi="Arial"/>
          <w:sz w:val="22"/>
          <w:szCs w:val="22"/>
          <w:rtl w:val="0"/>
        </w:rPr>
        <w:t xml:space="preserve">Hallar el supuesto de normalidad de la variable diferencia (di)</w:t>
      </w:r>
    </w:p>
    <w:p w:rsidR="00000000" w:rsidDel="00000000" w:rsidP="00000000" w:rsidRDefault="00000000" w:rsidRPr="00000000" w14:paraId="00000028">
      <w:pPr>
        <w:spacing w:after="240" w:before="2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610225" cy="1381125"/>
            <wp:effectExtent b="0" l="0" r="0" t="0"/>
            <wp:docPr id="1171561229"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610225" cy="138112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240" w:before="2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ab/>
        <w:t xml:space="preserve">Dado que p-valor (0.020) es menor que el nivel de significancia (0.05), es probable que los datos de la variable diferencia (di), no presenta distribución normal, por lo tanto se aplica la prueba no paramétrica de Wilcoxon.</w:t>
      </w:r>
    </w:p>
    <w:p w:rsidR="00000000" w:rsidDel="00000000" w:rsidP="00000000" w:rsidRDefault="00000000" w:rsidRPr="00000000" w14:paraId="0000002A">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6.</w:t>
      </w:r>
      <w:r w:rsidDel="00000000" w:rsidR="00000000" w:rsidRPr="00000000">
        <w:rPr>
          <w:rFonts w:ascii="Arial" w:cs="Arial" w:eastAsia="Arial" w:hAnsi="Arial"/>
          <w:sz w:val="14"/>
          <w:szCs w:val="14"/>
          <w:rtl w:val="0"/>
        </w:rPr>
        <w:t xml:space="preserve">  </w:t>
        <w:tab/>
      </w:r>
      <w:r w:rsidDel="00000000" w:rsidR="00000000" w:rsidRPr="00000000">
        <w:rPr>
          <w:rFonts w:ascii="Arial" w:cs="Arial" w:eastAsia="Arial" w:hAnsi="Arial"/>
          <w:sz w:val="22"/>
          <w:szCs w:val="22"/>
          <w:rtl w:val="0"/>
        </w:rPr>
        <w:t xml:space="preserve">Elección de la prueba de estadística</w:t>
      </w:r>
    </w:p>
    <w:p w:rsidR="00000000" w:rsidDel="00000000" w:rsidP="00000000" w:rsidRDefault="00000000" w:rsidRPr="00000000" w14:paraId="0000002B">
      <w:pPr>
        <w:spacing w:after="240" w:before="240" w:line="276" w:lineRule="auto"/>
        <w:ind w:left="360"/>
        <w:rPr>
          <w:rFonts w:ascii="Arial" w:cs="Arial" w:eastAsia="Arial" w:hAnsi="Arial"/>
          <w:i w:val="1"/>
          <w:sz w:val="22"/>
          <w:szCs w:val="22"/>
        </w:rPr>
      </w:pPr>
      <w:r w:rsidDel="00000000" w:rsidR="00000000" w:rsidRPr="00000000">
        <w:rPr>
          <w:rFonts w:ascii="Arial" w:cs="Arial" w:eastAsia="Arial" w:hAnsi="Arial"/>
          <w:i w:val="1"/>
          <w:sz w:val="22"/>
          <w:szCs w:val="22"/>
          <w:rtl w:val="0"/>
        </w:rPr>
        <w:t xml:space="preserve">Prueba no paramétrica de Wilcoxon.</w:t>
      </w:r>
    </w:p>
    <w:p w:rsidR="00000000" w:rsidDel="00000000" w:rsidP="00000000" w:rsidRDefault="00000000" w:rsidRPr="00000000" w14:paraId="0000002C">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7. Decisión estadística</w:t>
      </w:r>
    </w:p>
    <w:p w:rsidR="00000000" w:rsidDel="00000000" w:rsidP="00000000" w:rsidRDefault="00000000" w:rsidRPr="00000000" w14:paraId="0000002D">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429000" cy="2819400"/>
            <wp:effectExtent b="0" l="0" r="0" t="0"/>
            <wp:docPr id="117156122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4290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Dado que el p-valor (0.005) es menor que el nivel de significancia (0.05) es probable que se rechace la hipótesis nula.</w:t>
      </w:r>
    </w:p>
    <w:p w:rsidR="00000000" w:rsidDel="00000000" w:rsidP="00000000" w:rsidRDefault="00000000" w:rsidRPr="00000000" w14:paraId="0000002F">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8. Conclusión administrativa</w:t>
      </w:r>
    </w:p>
    <w:p w:rsidR="00000000" w:rsidDel="00000000" w:rsidP="00000000" w:rsidRDefault="00000000" w:rsidRPr="00000000" w14:paraId="00000030">
      <w:pPr>
        <w:spacing w:after="240" w:before="24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A un margen de error del 5% se concluye que, existen diferencias significativas respecto a los tiempos de respuesta (en milisegundos) antes y después de la actualización de hardware.</w:t>
      </w:r>
    </w:p>
    <w:p w:rsidR="00000000" w:rsidDel="00000000" w:rsidP="00000000" w:rsidRDefault="00000000" w:rsidRPr="00000000" w14:paraId="00000031">
      <w:pPr>
        <w:spacing w:after="240" w:before="240" w:line="276" w:lineRule="auto"/>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ANEXOS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Pr>
        <w:drawing>
          <wp:inline distB="114300" distT="114300" distL="114300" distR="114300">
            <wp:extent cx="5731200" cy="2501900"/>
            <wp:effectExtent b="0" l="0" r="0" t="0"/>
            <wp:docPr id="117156122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Pr>
        <w:drawing>
          <wp:inline distB="114300" distT="114300" distL="114300" distR="114300">
            <wp:extent cx="5731200" cy="2565400"/>
            <wp:effectExtent b="0" l="0" r="0" t="0"/>
            <wp:docPr id="117156122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Pr>
        <w:drawing>
          <wp:inline distB="114300" distT="114300" distL="114300" distR="114300">
            <wp:extent cx="5731200" cy="3822700"/>
            <wp:effectExtent b="0" l="0" r="0" t="0"/>
            <wp:docPr id="117156122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Pr>
        <w:drawing>
          <wp:inline distB="114300" distT="114300" distL="114300" distR="114300">
            <wp:extent cx="5657850" cy="3390900"/>
            <wp:effectExtent b="0" l="0" r="0" t="0"/>
            <wp:docPr id="1171561227"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65785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sectPr>
      <w:headerReference r:id="rId15" w:type="default"/>
      <w:footerReference r:id="rId16"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1930"/>
      </w:tabs>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Universidad Privada de Tacna</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Facultade de Ingeniería </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Escuela Profesional de Ingeniería de Sistemas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-19049</wp:posOffset>
              </wp:positionH>
              <wp:positionV relativeFrom="paragraph">
                <wp:posOffset>48260</wp:posOffset>
              </wp:positionV>
              <wp:extent cx="0" cy="12700"/>
              <wp:effectExtent b="0" l="0" r="0" t="0"/>
              <wp:wrapNone/>
              <wp:docPr id="1171561222" name=""/>
              <a:graphic>
                <a:graphicData uri="http://schemas.microsoft.com/office/word/2010/wordprocessingShape">
                  <wps:wsp>
                    <wps:cNvCnPr/>
                    <wps:spPr>
                      <a:xfrm>
                        <a:off x="2440875" y="3780000"/>
                        <a:ext cx="5810250" cy="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-19049</wp:posOffset>
              </wp:positionH>
              <wp:positionV relativeFrom="paragraph">
                <wp:posOffset>48260</wp:posOffset>
              </wp:positionV>
              <wp:extent cx="0" cy="12700"/>
              <wp:effectExtent b="0" l="0" r="0" t="0"/>
              <wp:wrapNone/>
              <wp:docPr id="117156122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PE"/>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132B15"/>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132B15"/>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132B15"/>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132B15"/>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132B15"/>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132B15"/>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132B15"/>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132B15"/>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132B15"/>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132B15"/>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132B15"/>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132B15"/>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132B15"/>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132B15"/>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132B15"/>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132B15"/>
    <w:rPr>
      <w:i w:val="1"/>
      <w:iCs w:val="1"/>
      <w:color w:val="404040" w:themeColor="text1" w:themeTint="0000BF"/>
    </w:rPr>
  </w:style>
  <w:style w:type="paragraph" w:styleId="Prrafodelista">
    <w:name w:val="List Paragraph"/>
    <w:basedOn w:val="Normal"/>
    <w:uiPriority w:val="34"/>
    <w:qFormat w:val="1"/>
    <w:rsid w:val="00132B15"/>
    <w:pPr>
      <w:ind w:left="720"/>
      <w:contextualSpacing w:val="1"/>
    </w:pPr>
  </w:style>
  <w:style w:type="character" w:styleId="nfasisintenso">
    <w:name w:val="Intense Emphasis"/>
    <w:basedOn w:val="Fuentedeprrafopredeter"/>
    <w:uiPriority w:val="21"/>
    <w:qFormat w:val="1"/>
    <w:rsid w:val="00132B15"/>
    <w:rPr>
      <w:i w:val="1"/>
      <w:iCs w:val="1"/>
      <w:color w:val="0f4761" w:themeColor="accent1" w:themeShade="0000BF"/>
    </w:rPr>
  </w:style>
  <w:style w:type="paragraph" w:styleId="Citadestacada">
    <w:name w:val="Intense Quote"/>
    <w:basedOn w:val="Normal"/>
    <w:next w:val="Normal"/>
    <w:link w:val="CitadestacadaCar"/>
    <w:uiPriority w:val="30"/>
    <w:qFormat w:val="1"/>
    <w:rsid w:val="00132B15"/>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132B15"/>
    <w:rPr>
      <w:i w:val="1"/>
      <w:iCs w:val="1"/>
      <w:color w:val="0f4761" w:themeColor="accent1" w:themeShade="0000BF"/>
    </w:rPr>
  </w:style>
  <w:style w:type="character" w:styleId="Referenciaintensa">
    <w:name w:val="Intense Reference"/>
    <w:basedOn w:val="Fuentedeprrafopredeter"/>
    <w:uiPriority w:val="32"/>
    <w:qFormat w:val="1"/>
    <w:rsid w:val="00132B15"/>
    <w:rPr>
      <w:b w:val="1"/>
      <w:bCs w:val="1"/>
      <w:smallCaps w:val="1"/>
      <w:color w:val="0f4761" w:themeColor="accent1" w:themeShade="0000BF"/>
      <w:spacing w:val="5"/>
    </w:rPr>
  </w:style>
  <w:style w:type="table" w:styleId="Tablaconcuadrcula">
    <w:name w:val="Table Grid"/>
    <w:basedOn w:val="Tablanormal"/>
    <w:uiPriority w:val="39"/>
    <w:rsid w:val="001020D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F77B36"/>
    <w:pPr>
      <w:tabs>
        <w:tab w:val="center" w:pos="4513"/>
        <w:tab w:val="right" w:pos="9026"/>
      </w:tabs>
      <w:spacing w:after="0" w:line="240" w:lineRule="auto"/>
    </w:pPr>
  </w:style>
  <w:style w:type="character" w:styleId="EncabezadoCar" w:customStyle="1">
    <w:name w:val="Encabezado Car"/>
    <w:basedOn w:val="Fuentedeprrafopredeter"/>
    <w:link w:val="Encabezado"/>
    <w:uiPriority w:val="99"/>
    <w:rsid w:val="00F77B36"/>
  </w:style>
  <w:style w:type="paragraph" w:styleId="Piedepgina">
    <w:name w:val="footer"/>
    <w:basedOn w:val="Normal"/>
    <w:link w:val="PiedepginaCar"/>
    <w:uiPriority w:val="99"/>
    <w:unhideWhenUsed w:val="1"/>
    <w:rsid w:val="00F77B36"/>
    <w:pPr>
      <w:tabs>
        <w:tab w:val="center" w:pos="4513"/>
        <w:tab w:val="right" w:pos="9026"/>
      </w:tabs>
      <w:spacing w:after="0" w:line="240" w:lineRule="auto"/>
    </w:pPr>
  </w:style>
  <w:style w:type="character" w:styleId="PiedepginaCar" w:customStyle="1">
    <w:name w:val="Pie de página Car"/>
    <w:basedOn w:val="Fuentedeprrafopredeter"/>
    <w:link w:val="Piedepgina"/>
    <w:uiPriority w:val="99"/>
    <w:rsid w:val="00F77B36"/>
  </w:style>
  <w:style w:type="paragraph" w:styleId="NormalWeb">
    <w:name w:val="Normal (Web)"/>
    <w:basedOn w:val="Normal"/>
    <w:uiPriority w:val="99"/>
    <w:semiHidden w:val="1"/>
    <w:unhideWhenUsed w:val="1"/>
    <w:rsid w:val="00A8359B"/>
    <w:pPr>
      <w:spacing w:after="100" w:afterAutospacing="1" w:before="100" w:beforeAutospacing="1" w:line="240" w:lineRule="auto"/>
    </w:pPr>
    <w:rPr>
      <w:rFonts w:ascii="Times New Roman" w:cs="Times New Roman" w:eastAsia="Times New Roman" w:hAnsi="Times New Roman"/>
      <w:kern w:val="0"/>
      <w:lang w:eastAsia="es-PE"/>
    </w:rPr>
  </w:style>
  <w:style w:type="character" w:styleId="Textoennegrita">
    <w:name w:val="Strong"/>
    <w:basedOn w:val="Fuentedeprrafopredeter"/>
    <w:uiPriority w:val="22"/>
    <w:qFormat w:val="1"/>
    <w:rsid w:val="001E10A1"/>
    <w:rPr>
      <w:b w:val="1"/>
      <w:bCs w:val="1"/>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7.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eader" Target="header1.xml"/><Relationship Id="rId14" Type="http://schemas.openxmlformats.org/officeDocument/2006/relationships/image" Target="media/image4.pn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9.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kVgqBs4GGTWfTb3cGT1eBAXIPA==">CgMxLjAaJAoBMBIfCh0IB0IZCgVBcmlhbBIQQXJpYWwgVW5pY29kZSBNUzgAciExUFBFcW13TU5HM3hiOTRIYUVJQkNYUHgzcWNxdzdjS20=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2025-10-14T23:34:00Z</dcterms:created>
  <dc:creator>LUIS ALFREDO</dc:creator>
</cp:coreProperties>
</file>