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1F40" w14:textId="77777777" w:rsidR="00A93965" w:rsidRDefault="00A93965">
      <w:pPr>
        <w:spacing w:after="0" w:line="276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576FA122" w14:textId="77777777" w:rsidR="00A93965" w:rsidRDefault="00000000">
      <w:pPr>
        <w:shd w:val="clear" w:color="auto" w:fill="D4D4D4"/>
        <w:spacing w:after="0" w:line="276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32"/>
          <w:szCs w:val="32"/>
        </w:rPr>
        <w:t>Prueba Wilcoxon para muestras relacionadas</w:t>
      </w:r>
    </w:p>
    <w:p w14:paraId="708568BE" w14:textId="77777777" w:rsidR="00A939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57" w:hanging="3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Un equipo de ingeniería de sistemas quiere determinar si la actualización de hardware de un servidor ha reducido significativamente el tiempo de respuesta para procesar solicitudes. A un margen de error del 5% ¿Hay diferencias significativas respecto a los tiempos de respuesta (en milisegundos) antes y después de la actualización de hardware para el mismo conjunto de solicitudes?</w:t>
      </w:r>
    </w:p>
    <w:tbl>
      <w:tblPr>
        <w:tblStyle w:val="a"/>
        <w:tblW w:w="8910" w:type="dxa"/>
        <w:tblInd w:w="465" w:type="dxa"/>
        <w:tblLayout w:type="fixed"/>
        <w:tblLook w:val="0400" w:firstRow="0" w:lastRow="0" w:firstColumn="0" w:lastColumn="0" w:noHBand="0" w:noVBand="1"/>
      </w:tblPr>
      <w:tblGrid>
        <w:gridCol w:w="4725"/>
        <w:gridCol w:w="390"/>
        <w:gridCol w:w="420"/>
        <w:gridCol w:w="435"/>
        <w:gridCol w:w="390"/>
        <w:gridCol w:w="405"/>
        <w:gridCol w:w="405"/>
        <w:gridCol w:w="405"/>
        <w:gridCol w:w="420"/>
        <w:gridCol w:w="405"/>
        <w:gridCol w:w="510"/>
      </w:tblGrid>
      <w:tr w:rsidR="00A93965" w14:paraId="0EC97EE8" w14:textId="77777777">
        <w:trPr>
          <w:trHeight w:val="290"/>
        </w:trPr>
        <w:tc>
          <w:tcPr>
            <w:tcW w:w="4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04798" w14:textId="77777777" w:rsidR="00A93965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Tiempos de Respuesta Antes de la Actualización:</w:t>
            </w:r>
          </w:p>
        </w:tc>
        <w:tc>
          <w:tcPr>
            <w:tcW w:w="3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9774C1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6BE1F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9872F9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3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7F676A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AF26C0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E5409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AD7A1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F06CA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C46248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5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FB1109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78</w:t>
            </w:r>
          </w:p>
        </w:tc>
      </w:tr>
      <w:tr w:rsidR="00A93965" w14:paraId="4CE95018" w14:textId="77777777">
        <w:trPr>
          <w:trHeight w:val="290"/>
        </w:trPr>
        <w:tc>
          <w:tcPr>
            <w:tcW w:w="4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64EB0" w14:textId="77777777" w:rsidR="00A93965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Tiempos de Respuesta Después de la Actualización: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5AFEB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CABF7C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0CE38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93E97A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70AA77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485319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A8C4F2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829BD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862FD9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E658CC" w14:textId="77777777" w:rsidR="00A93965" w:rsidRDefault="00000000">
            <w:pPr>
              <w:spacing w:after="0"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69</w:t>
            </w:r>
          </w:p>
        </w:tc>
      </w:tr>
    </w:tbl>
    <w:p w14:paraId="2DB27539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247D0A4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Planteamiento de hipótesis</w:t>
      </w:r>
    </w:p>
    <w:p w14:paraId="081C019E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H0: No existe diferencias significativas respecto a los tiempos de respuesta (en milisegundos) antes y después de la actualización del hardware</w:t>
      </w:r>
    </w:p>
    <w:p w14:paraId="3576BC4D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b.</w:t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H1: Existe diferencias significativas respecto a los tiempos de respuesta (en milisegundos) antes y después de la actualización del hardware</w:t>
      </w:r>
    </w:p>
    <w:p w14:paraId="2722AEC4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Hipótesis estadística: </w:t>
      </w:r>
    </w:p>
    <w:p w14:paraId="7897520B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h0: </w:t>
      </w:r>
      <w:proofErr w:type="spellStart"/>
      <w:r>
        <w:rPr>
          <w:rFonts w:ascii="Arial" w:eastAsia="Arial" w:hAnsi="Arial" w:cs="Arial"/>
          <w:sz w:val="22"/>
          <w:szCs w:val="22"/>
        </w:rPr>
        <w:t>MeA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MeB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0335CB7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sdt>
        <w:sdtPr>
          <w:tag w:val="goog_rdk_0"/>
          <w:id w:val="855837797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h1: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sz w:val="22"/>
              <w:szCs w:val="22"/>
            </w:rPr>
            <w:t>MeA</w:t>
          </w:r>
          <w:proofErr w:type="spellEnd"/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 ≠</w:t>
          </w:r>
          <w:proofErr w:type="gramEnd"/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2"/>
              <w:szCs w:val="22"/>
            </w:rPr>
            <w:t>MeB</w:t>
          </w:r>
          <w:proofErr w:type="spellEnd"/>
        </w:sdtContent>
      </w:sdt>
    </w:p>
    <w:p w14:paraId="2D78C7E6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Establecer el nivel de significancia</w:t>
      </w:r>
    </w:p>
    <w:p w14:paraId="0D99A038" w14:textId="77777777" w:rsidR="00A93965" w:rsidRDefault="00000000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5%</w:t>
      </w:r>
    </w:p>
    <w:p w14:paraId="59A439C4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Realizar el análisis exploratorio de datos</w:t>
      </w:r>
    </w:p>
    <w:p w14:paraId="0C49019A" w14:textId="21FB63F3" w:rsidR="00A93965" w:rsidRDefault="00A93965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</w:p>
    <w:p w14:paraId="67CF2BE9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Calcular la variable diferencia</w:t>
      </w:r>
    </w:p>
    <w:p w14:paraId="11D487FA" w14:textId="44362576" w:rsidR="00A93965" w:rsidRDefault="00A93965">
      <w:pPr>
        <w:spacing w:before="240" w:after="240" w:line="276" w:lineRule="auto"/>
        <w:ind w:left="1800" w:hanging="360"/>
        <w:rPr>
          <w:rFonts w:ascii="Arial" w:eastAsia="Arial" w:hAnsi="Arial" w:cs="Arial"/>
          <w:sz w:val="22"/>
          <w:szCs w:val="22"/>
        </w:rPr>
      </w:pPr>
    </w:p>
    <w:p w14:paraId="21713EBD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Hallar el supuesto de normalidad de la variable diferencia (di)</w:t>
      </w:r>
    </w:p>
    <w:p w14:paraId="1080A5FD" w14:textId="6C4804F1" w:rsidR="00A93965" w:rsidRDefault="00A93965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26C9FC5" w14:textId="77777777" w:rsidR="00A93965" w:rsidRDefault="0000000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 xml:space="preserve">Dado que p-valor (0.020) es menor que el nivel de significancia (0.05), es probable que los datos de la variable diferencia (di), no presenta distribución normal, por lo </w:t>
      </w:r>
      <w:proofErr w:type="gramStart"/>
      <w:r>
        <w:rPr>
          <w:rFonts w:ascii="Arial" w:eastAsia="Arial" w:hAnsi="Arial" w:cs="Arial"/>
          <w:sz w:val="22"/>
          <w:szCs w:val="22"/>
        </w:rPr>
        <w:t>tanto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se aplica la prueba no paramétrica de Wilcoxon.</w:t>
      </w:r>
    </w:p>
    <w:p w14:paraId="0C3A1FA3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6.</w:t>
      </w:r>
      <w:r>
        <w:rPr>
          <w:rFonts w:ascii="Arial" w:eastAsia="Arial" w:hAnsi="Arial" w:cs="Arial"/>
          <w:sz w:val="14"/>
          <w:szCs w:val="14"/>
        </w:rPr>
        <w:t xml:space="preserve">  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22"/>
          <w:szCs w:val="22"/>
        </w:rPr>
        <w:t>Elección de la prueba de estadística</w:t>
      </w:r>
    </w:p>
    <w:p w14:paraId="2CDC663D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Prueba no paramétrica de Wilcoxon.</w:t>
      </w:r>
    </w:p>
    <w:p w14:paraId="1E4B0A94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7. Decisión estadística</w:t>
      </w:r>
    </w:p>
    <w:p w14:paraId="3FE19021" w14:textId="21F29307" w:rsidR="00A93965" w:rsidRDefault="00A93965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</w:p>
    <w:p w14:paraId="4B631CF3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Dado que el p-valor (0.005) es menor que el nivel de significancia (0.05) es probable que se rechace la hipótesis nula.</w:t>
      </w:r>
    </w:p>
    <w:p w14:paraId="345A83C0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8. Conclusión administrativa</w:t>
      </w:r>
    </w:p>
    <w:p w14:paraId="0F7D1EB1" w14:textId="77777777" w:rsidR="00A93965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un margen de error del 5% se concluye que, existen diferencias significativas respecto a los tiempos de respuesta (en milisegundos) antes y después de la actualización de hardware.</w:t>
      </w:r>
    </w:p>
    <w:p w14:paraId="4E0F19C8" w14:textId="77777777" w:rsidR="00A93965" w:rsidRDefault="00A93965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5CF150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6CA253DD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2A784244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629303A4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CFF9BB8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505C653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99627E2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5084D8C0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137C1AD0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1B1D67F8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522A56BB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D4E2245" w14:textId="77777777" w:rsidR="00A9396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ANEXOS</w:t>
      </w:r>
    </w:p>
    <w:p w14:paraId="79857ED7" w14:textId="71FF4895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115FECC7" w14:textId="6990828C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280B4CB6" w14:textId="67ED2FF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548AA15B" w14:textId="11560148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655D0596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CAC2A0D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33D61767" w14:textId="77777777" w:rsidR="00A93965" w:rsidRDefault="00A9396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A9396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1E3D" w14:textId="77777777" w:rsidR="002866A7" w:rsidRDefault="002866A7">
      <w:pPr>
        <w:spacing w:after="0" w:line="240" w:lineRule="auto"/>
      </w:pPr>
      <w:r>
        <w:separator/>
      </w:r>
    </w:p>
  </w:endnote>
  <w:endnote w:type="continuationSeparator" w:id="0">
    <w:p w14:paraId="14D7BF99" w14:textId="77777777" w:rsidR="002866A7" w:rsidRDefault="0028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FA03A3E-B39C-4F8B-88DC-CC4C3DCF8D91}"/>
    <w:embedItalic r:id="rId2" w:fontKey="{41C870F0-9D12-4CFD-8820-D08536301D60}"/>
  </w:font>
  <w:font w:name="Play">
    <w:charset w:val="00"/>
    <w:family w:val="auto"/>
    <w:pitch w:val="default"/>
    <w:embedRegular r:id="rId3" w:fontKey="{6BBE6AF3-4B6C-400C-AEA5-EEE9C982AD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C0E2A27-9B75-4DA7-99F9-F8BEB94FA4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BAC2B4-6C06-46B3-BA5B-1435355D940E}"/>
    <w:embedBold r:id="rId6" w:fontKey="{3692E8BE-84C1-4819-ADEB-0C6FCB54FD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8D62" w14:textId="77777777" w:rsidR="00A93965" w:rsidRDefault="00A9396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2BF4C9DC" w14:textId="77777777" w:rsidR="00A93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93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DE434" w14:textId="77777777" w:rsidR="002866A7" w:rsidRDefault="002866A7">
      <w:pPr>
        <w:spacing w:after="0" w:line="240" w:lineRule="auto"/>
      </w:pPr>
      <w:r>
        <w:separator/>
      </w:r>
    </w:p>
  </w:footnote>
  <w:footnote w:type="continuationSeparator" w:id="0">
    <w:p w14:paraId="60DE1040" w14:textId="77777777" w:rsidR="002866A7" w:rsidRDefault="00286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1FF6" w14:textId="77777777" w:rsidR="00A93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b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2"/>
        <w:szCs w:val="22"/>
      </w:rPr>
      <w:t>Universidad Privada de Tacna</w:t>
    </w:r>
  </w:p>
  <w:p w14:paraId="4925F3C3" w14:textId="77777777" w:rsidR="00A93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b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2"/>
        <w:szCs w:val="22"/>
      </w:rPr>
      <w:t xml:space="preserve">Facultade de Ingeniería </w:t>
    </w:r>
  </w:p>
  <w:p w14:paraId="5005600C" w14:textId="77777777" w:rsidR="00A93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b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2"/>
        <w:szCs w:val="22"/>
      </w:rPr>
      <w:t>Escuela Profesional de Ingeniería de Sistemas</w:t>
    </w:r>
  </w:p>
  <w:p w14:paraId="79428EE3" w14:textId="77777777" w:rsidR="00A93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F8353E2" wp14:editId="2C35CD8F">
              <wp:simplePos x="0" y="0"/>
              <wp:positionH relativeFrom="column">
                <wp:posOffset>-19049</wp:posOffset>
              </wp:positionH>
              <wp:positionV relativeFrom="paragraph">
                <wp:posOffset>48260</wp:posOffset>
              </wp:positionV>
              <wp:extent cx="0" cy="12700"/>
              <wp:effectExtent l="0" t="0" r="0" b="0"/>
              <wp:wrapNone/>
              <wp:docPr id="1171561222" name="Conector recto de flecha 1171561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40875" y="3780000"/>
                        <a:ext cx="58102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</wp:posOffset>
              </wp:positionH>
              <wp:positionV relativeFrom="paragraph">
                <wp:posOffset>48260</wp:posOffset>
              </wp:positionV>
              <wp:extent cx="0" cy="12700"/>
              <wp:effectExtent b="0" l="0" r="0" t="0"/>
              <wp:wrapNone/>
              <wp:docPr id="11715612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3DC0"/>
    <w:multiLevelType w:val="multilevel"/>
    <w:tmpl w:val="5470E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05920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65"/>
    <w:rsid w:val="002866A7"/>
    <w:rsid w:val="005B1EF0"/>
    <w:rsid w:val="00635741"/>
    <w:rsid w:val="00A9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8E76"/>
  <w15:docId w15:val="{AF14937A-CE6F-4753-BF27-2EB8C961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13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3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3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32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32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32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1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3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3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2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B36"/>
  </w:style>
  <w:style w:type="paragraph" w:styleId="Piedepgina">
    <w:name w:val="footer"/>
    <w:basedOn w:val="Normal"/>
    <w:link w:val="Piedepgina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B36"/>
  </w:style>
  <w:style w:type="paragraph" w:styleId="NormalWeb">
    <w:name w:val="Normal (Web)"/>
    <w:basedOn w:val="Normal"/>
    <w:uiPriority w:val="99"/>
    <w:semiHidden/>
    <w:unhideWhenUsed/>
    <w:rsid w:val="00A8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1E10A1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VgqBs4GGTWfTb3cGT1eBAXIPA==">CgMxLjAaJAoBMBIfCh0IB0IZCgVBcmlhbBIQQXJpYWwgVW5pY29kZSBNUzgAciExUFBFcW13TU5HM3hiOTRIYUVJQkNYUHgzcWNxdzdjS20=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ALFREDO</dc:creator>
  <cp:lastModifiedBy>GABRIELA LUZKALID GUTIERREZ MAMANI</cp:lastModifiedBy>
  <cp:revision>2</cp:revision>
  <dcterms:created xsi:type="dcterms:W3CDTF">2025-10-14T23:34:00Z</dcterms:created>
  <dcterms:modified xsi:type="dcterms:W3CDTF">2025-11-04T22:22:00Z</dcterms:modified>
</cp:coreProperties>
</file>