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 4: Reflection</w:t>
      </w:r>
    </w:p>
    <w:p>
      <w:pPr>
        <w:spacing w:after="400"/>
      </w:pPr>
      <w:r>
        <w:rPr>
          <w:rFonts w:ascii="Arial" w:cs="Arial" w:eastAsia="Arial" w:hAnsi="Arial"/>
          <w:i/>
          <w:iCs/>
          <w:color w:val="666666"/>
          <w:sz w:val="22"/>
          <w:szCs w:val="22"/>
        </w:rPr>
        <w:t xml:space="preserve">Tool 1 — Water &amp; Wastewater Systems Reasoning  |  Super Pit Domestic Water Demand</w:t>
      </w:r>
    </w:p>
    <w:p>
      <w:pPr>
        <w:pStyle w:val="Heading2"/>
      </w:pPr>
      <w:r>
        <w:t xml:space="preserve">What assumption mattered most, and how did I determine that?</w:t>
      </w:r>
    </w:p>
    <w:p>
      <w:pPr>
        <w:spacing w:after="200"/>
      </w:pPr>
      <w:r>
        <w:t xml:space="preserve">The most consequential assumption in this tool is that water demand scales linearly with population — that is, two hundred workers use exactly twice as much water as one hundred. This is built into the core formula and shapes every output the tool produces. I recognised it as the dominant assumption because it is not just a simplification of one variable: it is the structural backbone of the entire model. If this relationship does not hold in practice, no amount of refinement to the per-person category inputs or the temperature multiplier can correct the results. In reality, shared infrastructure such as communal kitchens, laundry facilities, and bathrooms introduces economies of scale — meaning a larger camp may use proportionally less water per person than a smaller one. The tool cannot capture this nuance, and a user who does not recognise the linearity assumption could draw misleading conclusions when comparing camps of very different sizes.</w:t>
      </w:r>
    </w:p>
    <w:p>
      <w:pPr>
        <w:pStyle w:val="Heading2"/>
      </w:pPr>
      <w:r>
        <w:t xml:space="preserve">Where does the tool break, mislead, or give false confidence?</w:t>
      </w:r>
    </w:p>
    <w:p>
      <w:pPr>
        <w:spacing w:after="200"/>
      </w:pPr>
      <w:r>
        <w:t xml:space="preserve">Two areas stand out as sources of potential false confidence. First, the per-person category defaults — drinking, sanitation, cooking, and other domestic use — are estimates drawn from general guidelines rather than measurements taken at the Super Pit or any comparable remote mining camp. The tool presents these values with a precision that implies they are reliable, when in reality they are starting points for reasoning. A user who accepts the defaults without scrutiny may trust the outputs more than is warranted. Second, the tool does not account for water recycling or recirculation on site. The Super Pit is known to operate water recycling systems, meaning the actual volume that needs to be pumped to the site fresh each day is likely lower than the tool suggests. This means the tool will consistently overestimate gross water demand, which is conservative from an engineering standpoint but could lead to over-sizing infrastructure if taken at face value. Both of these limitations are noted in the tool's assumptions display, but a casual user could easily overlook them.</w:t>
      </w:r>
    </w:p>
    <w:p>
      <w:pPr>
        <w:pStyle w:val="Heading2"/>
      </w:pPr>
      <w:r>
        <w:t xml:space="preserve">How did AI help, and where did I intervene, revise, or override it?</w:t>
      </w:r>
    </w:p>
    <w:p>
      <w:pPr>
        <w:spacing w:after="200"/>
      </w:pPr>
      <w:r>
        <w:t xml:space="preserve">For this project, AI wrote the majority of the code while I provided direction, reviewed outputs, and made decisions about scope and design. This division of labour was deliberate and, for the most part, effective. The AI was able to rapidly produce a functional, well-styled web tool from high-level descriptions, which freed me to focus on the engineering reasoning rather than syntax. Where I intervened most meaningfully was in shaping what the tool should and should not do. For example, I identified early on that the tool should focus exclusively on domestic potable water and not attempt to model mining process water, which would have introduced a very different and far more complex set of variables. I also pushed back on the initial single-input baseline field, recognising that breaking it into sub-categories would make the reasoning more transparent and the tool more useful for the assignment. The decision to remove the fixed population input entirely and replace it with a live chart was also mine — I felt that showing demand as a function of population was more honest and instructive than producing a single number for an assumed headcount. In each of these cases, the AI executed the change well once the direction was clear. The key intervention I provided was judgment about what the tool was actually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2026-03-03T02:04:30.281Z</dcterms:created>
  <dcterms:modified xsi:type="dcterms:W3CDTF">2026-03-03T02:04:30.282Z</dcterms:modified>
</cp:coreProperties>
</file>

<file path=docProps/custom.xml><?xml version="1.0" encoding="utf-8"?>
<Properties xmlns="http://schemas.openxmlformats.org/officeDocument/2006/custom-properties" xmlns:vt="http://schemas.openxmlformats.org/officeDocument/2006/docPropsVTypes"/>
</file>