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0E498" w14:textId="77777777" w:rsidR="001219DA" w:rsidRDefault="00000000">
      <w:pPr>
        <w:spacing w:after="60"/>
      </w:pPr>
      <w:r>
        <w:rPr>
          <w:b/>
          <w:bCs/>
          <w:color w:val="1A4018"/>
          <w:sz w:val="36"/>
          <w:szCs w:val="36"/>
        </w:rPr>
        <w:t>Mine Tailings Cover</w:t>
      </w:r>
    </w:p>
    <w:p w14:paraId="164E5511" w14:textId="77777777" w:rsidR="001219DA" w:rsidRDefault="00000000">
      <w:pPr>
        <w:spacing w:after="80"/>
      </w:pPr>
      <w:r>
        <w:rPr>
          <w:color w:val="3A7A36"/>
          <w:sz w:val="28"/>
          <w:szCs w:val="28"/>
        </w:rPr>
        <w:t>Percolation Estimator — Quickstart Guide</w:t>
      </w:r>
    </w:p>
    <w:p w14:paraId="56222958" w14:textId="77777777" w:rsidR="001219DA" w:rsidRDefault="00000000">
      <w:pPr>
        <w:pBdr>
          <w:bottom w:val="single" w:sz="4" w:space="8" w:color="C8E6C5"/>
        </w:pBdr>
        <w:spacing w:after="320"/>
      </w:pPr>
      <w:r>
        <w:rPr>
          <w:i/>
          <w:iCs/>
          <w:color w:val="888888"/>
          <w:sz w:val="18"/>
          <w:szCs w:val="18"/>
        </w:rPr>
        <w:t>CIVE 438 · Fundamentals of Environmental Engineering · Spring 2026</w:t>
      </w:r>
    </w:p>
    <w:p w14:paraId="7798E956" w14:textId="77777777" w:rsidR="001219DA" w:rsidRDefault="00000000">
      <w:pPr>
        <w:pStyle w:val="Heading1"/>
      </w:pPr>
      <w:r>
        <w:t>Overview</w:t>
      </w:r>
    </w:p>
    <w:p w14:paraId="403C7650" w14:textId="2716956B" w:rsidR="001219DA" w:rsidRDefault="00000000">
      <w:pPr>
        <w:spacing w:after="120"/>
      </w:pPr>
      <w:r>
        <w:t>This tool estimates the annual percolation rate through a single-layer mine tailings cover using a simplified lumped water balance. It combines the SCS Curve Number method with Darcy's Law to determine how much precipitation ultimately passes through the cover and reaches the tailings below. The result is compared to a user-selected regulatory threshold and flagged as Pass, Marginal, or Fail.</w:t>
      </w:r>
    </w:p>
    <w:p w14:paraId="3E989EB6" w14:textId="77777777" w:rsidR="001219DA" w:rsidRDefault="00000000">
      <w:pPr>
        <w:pStyle w:val="Heading1"/>
      </w:pPr>
      <w:r>
        <w:t>Inputs</w:t>
      </w:r>
    </w:p>
    <w:p w14:paraId="000D8EA7" w14:textId="0E577B48" w:rsidR="001219DA" w:rsidRDefault="00000000">
      <w:pPr>
        <w:spacing w:after="120"/>
      </w:pPr>
      <w:r>
        <w:t xml:space="preserve">Open the HTML file in any web browser. </w:t>
      </w:r>
      <w:r w:rsidR="00B42C22">
        <w:t>At first, the page will only have inputs</w:t>
      </w:r>
      <w:r>
        <w:t xml:space="preserve">. Enter values appropriate for your site before clicking </w:t>
      </w:r>
      <w:r w:rsidR="00B42C22">
        <w:t>“run water balance model</w:t>
      </w:r>
      <w:r>
        <w:t>.</w:t>
      </w:r>
      <w:r w:rsidR="00B42C22">
        <w:t>”</w:t>
      </w:r>
    </w:p>
    <w:p w14:paraId="23264AAD" w14:textId="77777777" w:rsidR="001219DA" w:rsidRDefault="001219D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4"/>
        <w:gridCol w:w="1508"/>
        <w:gridCol w:w="1975"/>
        <w:gridCol w:w="3703"/>
      </w:tblGrid>
      <w:tr w:rsidR="001219DA" w14:paraId="1BED43FF" w14:textId="77777777">
        <w:tblPrEx>
          <w:tblCellMar>
            <w:top w:w="0" w:type="dxa"/>
            <w:bottom w:w="0" w:type="dxa"/>
          </w:tblCellMar>
        </w:tblPrEx>
        <w:tc>
          <w:tcPr>
            <w:tcW w:w="2200" w:type="dxa"/>
            <w:tcBorders>
              <w:top w:val="single" w:sz="1" w:space="0" w:color="5A8A57"/>
              <w:left w:val="single" w:sz="1" w:space="0" w:color="5A8A57"/>
              <w:bottom w:val="single" w:sz="1" w:space="0" w:color="5A8A57"/>
              <w:right w:val="single" w:sz="1" w:space="0" w:color="5A8A57"/>
            </w:tcBorders>
            <w:shd w:val="clear" w:color="auto" w:fill="C8E6C5"/>
            <w:tcMar>
              <w:top w:w="100" w:type="dxa"/>
              <w:left w:w="120" w:type="dxa"/>
              <w:bottom w:w="100" w:type="dxa"/>
              <w:right w:w="120" w:type="dxa"/>
            </w:tcMar>
          </w:tcPr>
          <w:p w14:paraId="0F0B968F" w14:textId="77777777" w:rsidR="001219DA" w:rsidRDefault="00000000">
            <w:r>
              <w:rPr>
                <w:b/>
                <w:bCs/>
                <w:color w:val="1A4018"/>
                <w:sz w:val="20"/>
                <w:szCs w:val="20"/>
              </w:rPr>
              <w:t>Input Parameter</w:t>
            </w:r>
          </w:p>
        </w:tc>
        <w:tc>
          <w:tcPr>
            <w:tcW w:w="1400" w:type="dxa"/>
            <w:tcBorders>
              <w:top w:val="single" w:sz="1" w:space="0" w:color="5A8A57"/>
              <w:left w:val="single" w:sz="1" w:space="0" w:color="5A8A57"/>
              <w:bottom w:val="single" w:sz="1" w:space="0" w:color="5A8A57"/>
              <w:right w:val="single" w:sz="1" w:space="0" w:color="5A8A57"/>
            </w:tcBorders>
            <w:shd w:val="clear" w:color="auto" w:fill="C8E6C5"/>
            <w:tcMar>
              <w:top w:w="100" w:type="dxa"/>
              <w:left w:w="120" w:type="dxa"/>
              <w:bottom w:w="100" w:type="dxa"/>
              <w:right w:w="120" w:type="dxa"/>
            </w:tcMar>
          </w:tcPr>
          <w:p w14:paraId="4A9BA68B" w14:textId="77777777" w:rsidR="001219DA" w:rsidRDefault="00000000">
            <w:r>
              <w:rPr>
                <w:b/>
                <w:bCs/>
                <w:color w:val="1A4018"/>
                <w:sz w:val="20"/>
                <w:szCs w:val="20"/>
              </w:rPr>
              <w:t>Units</w:t>
            </w:r>
          </w:p>
        </w:tc>
        <w:tc>
          <w:tcPr>
            <w:tcW w:w="2000" w:type="dxa"/>
            <w:tcBorders>
              <w:top w:val="single" w:sz="1" w:space="0" w:color="5A8A57"/>
              <w:left w:val="single" w:sz="1" w:space="0" w:color="5A8A57"/>
              <w:bottom w:val="single" w:sz="1" w:space="0" w:color="5A8A57"/>
              <w:right w:val="single" w:sz="1" w:space="0" w:color="5A8A57"/>
            </w:tcBorders>
            <w:shd w:val="clear" w:color="auto" w:fill="C8E6C5"/>
            <w:tcMar>
              <w:top w:w="100" w:type="dxa"/>
              <w:left w:w="120" w:type="dxa"/>
              <w:bottom w:w="100" w:type="dxa"/>
              <w:right w:w="120" w:type="dxa"/>
            </w:tcMar>
          </w:tcPr>
          <w:p w14:paraId="5050FDFC" w14:textId="77777777" w:rsidR="001219DA" w:rsidRDefault="00000000">
            <w:r>
              <w:rPr>
                <w:b/>
                <w:bCs/>
                <w:color w:val="1A4018"/>
                <w:sz w:val="20"/>
                <w:szCs w:val="20"/>
              </w:rPr>
              <w:t>Default / Range</w:t>
            </w:r>
          </w:p>
        </w:tc>
        <w:tc>
          <w:tcPr>
            <w:tcW w:w="3760" w:type="dxa"/>
            <w:tcBorders>
              <w:top w:val="single" w:sz="1" w:space="0" w:color="5A8A57"/>
              <w:left w:val="single" w:sz="1" w:space="0" w:color="5A8A57"/>
              <w:bottom w:val="single" w:sz="1" w:space="0" w:color="5A8A57"/>
              <w:right w:val="single" w:sz="1" w:space="0" w:color="5A8A57"/>
            </w:tcBorders>
            <w:shd w:val="clear" w:color="auto" w:fill="C8E6C5"/>
            <w:tcMar>
              <w:top w:w="100" w:type="dxa"/>
              <w:left w:w="120" w:type="dxa"/>
              <w:bottom w:w="100" w:type="dxa"/>
              <w:right w:w="120" w:type="dxa"/>
            </w:tcMar>
          </w:tcPr>
          <w:p w14:paraId="4E2C7E11" w14:textId="77777777" w:rsidR="001219DA" w:rsidRDefault="00000000">
            <w:r>
              <w:rPr>
                <w:b/>
                <w:bCs/>
                <w:color w:val="1A4018"/>
                <w:sz w:val="20"/>
                <w:szCs w:val="20"/>
              </w:rPr>
              <w:t>Description</w:t>
            </w:r>
          </w:p>
        </w:tc>
      </w:tr>
      <w:tr w:rsidR="001219DA" w14:paraId="4112B0A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4FAF4"/>
            <w:tcMar>
              <w:top w:w="80" w:type="dxa"/>
              <w:left w:w="120" w:type="dxa"/>
              <w:bottom w:w="80" w:type="dxa"/>
              <w:right w:w="120" w:type="dxa"/>
            </w:tcMar>
          </w:tcPr>
          <w:p w14:paraId="78563DBD" w14:textId="77777777" w:rsidR="001219DA" w:rsidRDefault="00000000">
            <w:r>
              <w:rPr>
                <w:sz w:val="20"/>
                <w:szCs w:val="20"/>
              </w:rPr>
              <w:t>Annual Precipitation (P)</w:t>
            </w:r>
          </w:p>
        </w:tc>
        <w:tc>
          <w:tcPr>
            <w:tcW w:w="1400" w:type="dxa"/>
            <w:tcBorders>
              <w:top w:val="single" w:sz="1" w:space="0" w:color="AAAAAA"/>
              <w:left w:val="single" w:sz="1" w:space="0" w:color="AAAAAA"/>
              <w:bottom w:val="single" w:sz="1" w:space="0" w:color="AAAAAA"/>
              <w:right w:val="single" w:sz="1" w:space="0" w:color="AAAAAA"/>
            </w:tcBorders>
            <w:shd w:val="clear" w:color="auto" w:fill="F4FAF4"/>
            <w:tcMar>
              <w:top w:w="80" w:type="dxa"/>
              <w:left w:w="120" w:type="dxa"/>
              <w:bottom w:w="80" w:type="dxa"/>
              <w:right w:w="120" w:type="dxa"/>
            </w:tcMar>
          </w:tcPr>
          <w:p w14:paraId="1F8B6D07" w14:textId="77777777" w:rsidR="001219DA" w:rsidRDefault="00000000">
            <w:r>
              <w:rPr>
                <w:sz w:val="20"/>
                <w:szCs w:val="20"/>
              </w:rPr>
              <w:t>mm/yr</w:t>
            </w:r>
          </w:p>
        </w:tc>
        <w:tc>
          <w:tcPr>
            <w:tcW w:w="2000" w:type="dxa"/>
            <w:tcBorders>
              <w:top w:val="single" w:sz="1" w:space="0" w:color="AAAAAA"/>
              <w:left w:val="single" w:sz="1" w:space="0" w:color="AAAAAA"/>
              <w:bottom w:val="single" w:sz="1" w:space="0" w:color="AAAAAA"/>
              <w:right w:val="single" w:sz="1" w:space="0" w:color="AAAAAA"/>
            </w:tcBorders>
            <w:shd w:val="clear" w:color="auto" w:fill="F4FAF4"/>
            <w:tcMar>
              <w:top w:w="80" w:type="dxa"/>
              <w:left w:w="120" w:type="dxa"/>
              <w:bottom w:w="80" w:type="dxa"/>
              <w:right w:w="120" w:type="dxa"/>
            </w:tcMar>
          </w:tcPr>
          <w:p w14:paraId="42E278A3" w14:textId="77777777" w:rsidR="001219DA" w:rsidRDefault="00000000">
            <w:r>
              <w:rPr>
                <w:sz w:val="20"/>
                <w:szCs w:val="20"/>
              </w:rPr>
              <w:t>450 (200–5000)</w:t>
            </w:r>
          </w:p>
        </w:tc>
        <w:tc>
          <w:tcPr>
            <w:tcW w:w="3760" w:type="dxa"/>
            <w:tcBorders>
              <w:top w:val="single" w:sz="1" w:space="0" w:color="AAAAAA"/>
              <w:left w:val="single" w:sz="1" w:space="0" w:color="AAAAAA"/>
              <w:bottom w:val="single" w:sz="1" w:space="0" w:color="AAAAAA"/>
              <w:right w:val="single" w:sz="1" w:space="0" w:color="AAAAAA"/>
            </w:tcBorders>
            <w:shd w:val="clear" w:color="auto" w:fill="F4FAF4"/>
            <w:tcMar>
              <w:top w:w="80" w:type="dxa"/>
              <w:left w:w="120" w:type="dxa"/>
              <w:bottom w:w="80" w:type="dxa"/>
              <w:right w:w="120" w:type="dxa"/>
            </w:tcMar>
          </w:tcPr>
          <w:p w14:paraId="053AEFEB" w14:textId="77777777" w:rsidR="001219DA" w:rsidRDefault="00000000">
            <w:r>
              <w:rPr>
                <w:sz w:val="20"/>
                <w:szCs w:val="20"/>
              </w:rPr>
              <w:t>Total annual rainfall + snowmelt at the site. Use long-term average from NOAA or local gauge.</w:t>
            </w:r>
          </w:p>
        </w:tc>
      </w:tr>
      <w:tr w:rsidR="001219DA" w14:paraId="3B51135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101645" w14:textId="77777777" w:rsidR="001219DA" w:rsidRDefault="00000000">
            <w:r>
              <w:rPr>
                <w:sz w:val="20"/>
                <w:szCs w:val="20"/>
              </w:rPr>
              <w:t>SCS Curve Number (CN)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33047F" w14:textId="77777777" w:rsidR="001219DA" w:rsidRDefault="00000000">
            <w:r>
              <w:rPr>
                <w:sz w:val="20"/>
                <w:szCs w:val="20"/>
              </w:rPr>
              <w:t>dimensionless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405527" w14:textId="77777777" w:rsidR="001219DA" w:rsidRDefault="00000000">
            <w:r>
              <w:rPr>
                <w:sz w:val="20"/>
                <w:szCs w:val="20"/>
              </w:rPr>
              <w:t>70 (1–100)</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0F8AEA" w14:textId="77777777" w:rsidR="001219DA" w:rsidRDefault="00000000">
            <w:r>
              <w:rPr>
                <w:sz w:val="20"/>
                <w:szCs w:val="20"/>
              </w:rPr>
              <w:t>Runoff potential of the cover surface. Bare/compacted soil ≈ 80; well-vegetated cover ≈ 55–70.</w:t>
            </w:r>
          </w:p>
        </w:tc>
      </w:tr>
      <w:tr w:rsidR="001219DA" w14:paraId="3C12F2C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4FAF4"/>
            <w:tcMar>
              <w:top w:w="80" w:type="dxa"/>
              <w:left w:w="120" w:type="dxa"/>
              <w:bottom w:w="80" w:type="dxa"/>
              <w:right w:w="120" w:type="dxa"/>
            </w:tcMar>
          </w:tcPr>
          <w:p w14:paraId="3060C741" w14:textId="77777777" w:rsidR="001219DA" w:rsidRDefault="00000000">
            <w:r>
              <w:rPr>
                <w:sz w:val="20"/>
                <w:szCs w:val="20"/>
              </w:rPr>
              <w:t>Annual ET</w:t>
            </w:r>
          </w:p>
        </w:tc>
        <w:tc>
          <w:tcPr>
            <w:tcW w:w="1400" w:type="dxa"/>
            <w:tcBorders>
              <w:top w:val="single" w:sz="1" w:space="0" w:color="AAAAAA"/>
              <w:left w:val="single" w:sz="1" w:space="0" w:color="AAAAAA"/>
              <w:bottom w:val="single" w:sz="1" w:space="0" w:color="AAAAAA"/>
              <w:right w:val="single" w:sz="1" w:space="0" w:color="AAAAAA"/>
            </w:tcBorders>
            <w:shd w:val="clear" w:color="auto" w:fill="F4FAF4"/>
            <w:tcMar>
              <w:top w:w="80" w:type="dxa"/>
              <w:left w:w="120" w:type="dxa"/>
              <w:bottom w:w="80" w:type="dxa"/>
              <w:right w:w="120" w:type="dxa"/>
            </w:tcMar>
          </w:tcPr>
          <w:p w14:paraId="0BC8D4BE" w14:textId="77777777" w:rsidR="001219DA" w:rsidRDefault="00000000">
            <w:r>
              <w:rPr>
                <w:sz w:val="20"/>
                <w:szCs w:val="20"/>
              </w:rPr>
              <w:t>mm/yr</w:t>
            </w:r>
          </w:p>
        </w:tc>
        <w:tc>
          <w:tcPr>
            <w:tcW w:w="2000" w:type="dxa"/>
            <w:tcBorders>
              <w:top w:val="single" w:sz="1" w:space="0" w:color="AAAAAA"/>
              <w:left w:val="single" w:sz="1" w:space="0" w:color="AAAAAA"/>
              <w:bottom w:val="single" w:sz="1" w:space="0" w:color="AAAAAA"/>
              <w:right w:val="single" w:sz="1" w:space="0" w:color="AAAAAA"/>
            </w:tcBorders>
            <w:shd w:val="clear" w:color="auto" w:fill="F4FAF4"/>
            <w:tcMar>
              <w:top w:w="80" w:type="dxa"/>
              <w:left w:w="120" w:type="dxa"/>
              <w:bottom w:w="80" w:type="dxa"/>
              <w:right w:w="120" w:type="dxa"/>
            </w:tcMar>
          </w:tcPr>
          <w:p w14:paraId="3296457B" w14:textId="77777777" w:rsidR="001219DA" w:rsidRDefault="00000000">
            <w:r>
              <w:rPr>
                <w:sz w:val="20"/>
                <w:szCs w:val="20"/>
              </w:rPr>
              <w:t>320 (0–3000)</w:t>
            </w:r>
          </w:p>
        </w:tc>
        <w:tc>
          <w:tcPr>
            <w:tcW w:w="3760" w:type="dxa"/>
            <w:tcBorders>
              <w:top w:val="single" w:sz="1" w:space="0" w:color="AAAAAA"/>
              <w:left w:val="single" w:sz="1" w:space="0" w:color="AAAAAA"/>
              <w:bottom w:val="single" w:sz="1" w:space="0" w:color="AAAAAA"/>
              <w:right w:val="single" w:sz="1" w:space="0" w:color="AAAAAA"/>
            </w:tcBorders>
            <w:shd w:val="clear" w:color="auto" w:fill="F4FAF4"/>
            <w:tcMar>
              <w:top w:w="80" w:type="dxa"/>
              <w:left w:w="120" w:type="dxa"/>
              <w:bottom w:w="80" w:type="dxa"/>
              <w:right w:w="120" w:type="dxa"/>
            </w:tcMar>
          </w:tcPr>
          <w:p w14:paraId="49F44BF6" w14:textId="77777777" w:rsidR="001219DA" w:rsidRDefault="00000000">
            <w:r>
              <w:rPr>
                <w:sz w:val="20"/>
                <w:szCs w:val="20"/>
              </w:rPr>
              <w:t>Evapotranspiration lost from the cover. Arid sites: 200–500 mm/yr; humid: 500–900 mm/yr.</w:t>
            </w:r>
          </w:p>
        </w:tc>
      </w:tr>
      <w:tr w:rsidR="001219DA" w14:paraId="325ECA6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F7E6E0" w14:textId="77777777" w:rsidR="001219DA" w:rsidRDefault="00000000">
            <w:r>
              <w:rPr>
                <w:sz w:val="20"/>
                <w:szCs w:val="20"/>
              </w:rPr>
              <w:t>Hydraulic Conductivity (K)</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60F684" w14:textId="77777777" w:rsidR="001219DA" w:rsidRDefault="00000000">
            <w:r>
              <w:rPr>
                <w:sz w:val="20"/>
                <w:szCs w:val="20"/>
              </w:rPr>
              <w:t>mm/yr</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DE094F" w14:textId="77777777" w:rsidR="001219DA" w:rsidRDefault="00000000">
            <w:r>
              <w:rPr>
                <w:sz w:val="20"/>
                <w:szCs w:val="20"/>
              </w:rPr>
              <w:t>3.15 (0.001–31536000)</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17EFFE" w14:textId="77777777" w:rsidR="001219DA" w:rsidRDefault="00000000">
            <w:r>
              <w:rPr>
                <w:sz w:val="20"/>
                <w:szCs w:val="20"/>
              </w:rPr>
              <w:t>Saturated K of the cover soil. Compacted clay ≈ 3 mm/yr; sandy loam ≈ 31,536 mm/yr.</w:t>
            </w:r>
          </w:p>
        </w:tc>
      </w:tr>
      <w:tr w:rsidR="001219DA" w14:paraId="63E96B1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4FAF4"/>
            <w:tcMar>
              <w:top w:w="80" w:type="dxa"/>
              <w:left w:w="120" w:type="dxa"/>
              <w:bottom w:w="80" w:type="dxa"/>
              <w:right w:w="120" w:type="dxa"/>
            </w:tcMar>
          </w:tcPr>
          <w:p w14:paraId="79869C50" w14:textId="77777777" w:rsidR="001219DA" w:rsidRDefault="00000000">
            <w:r>
              <w:rPr>
                <w:sz w:val="20"/>
                <w:szCs w:val="20"/>
              </w:rPr>
              <w:t>Cover Thickness</w:t>
            </w:r>
          </w:p>
        </w:tc>
        <w:tc>
          <w:tcPr>
            <w:tcW w:w="1400" w:type="dxa"/>
            <w:tcBorders>
              <w:top w:val="single" w:sz="1" w:space="0" w:color="AAAAAA"/>
              <w:left w:val="single" w:sz="1" w:space="0" w:color="AAAAAA"/>
              <w:bottom w:val="single" w:sz="1" w:space="0" w:color="AAAAAA"/>
              <w:right w:val="single" w:sz="1" w:space="0" w:color="AAAAAA"/>
            </w:tcBorders>
            <w:shd w:val="clear" w:color="auto" w:fill="F4FAF4"/>
            <w:tcMar>
              <w:top w:w="80" w:type="dxa"/>
              <w:left w:w="120" w:type="dxa"/>
              <w:bottom w:w="80" w:type="dxa"/>
              <w:right w:w="120" w:type="dxa"/>
            </w:tcMar>
          </w:tcPr>
          <w:p w14:paraId="3C27A84B" w14:textId="77777777" w:rsidR="001219DA" w:rsidRDefault="00000000">
            <w:r>
              <w:rPr>
                <w:sz w:val="20"/>
                <w:szCs w:val="20"/>
              </w:rPr>
              <w:t>m</w:t>
            </w:r>
          </w:p>
        </w:tc>
        <w:tc>
          <w:tcPr>
            <w:tcW w:w="2000" w:type="dxa"/>
            <w:tcBorders>
              <w:top w:val="single" w:sz="1" w:space="0" w:color="AAAAAA"/>
              <w:left w:val="single" w:sz="1" w:space="0" w:color="AAAAAA"/>
              <w:bottom w:val="single" w:sz="1" w:space="0" w:color="AAAAAA"/>
              <w:right w:val="single" w:sz="1" w:space="0" w:color="AAAAAA"/>
            </w:tcBorders>
            <w:shd w:val="clear" w:color="auto" w:fill="F4FAF4"/>
            <w:tcMar>
              <w:top w:w="80" w:type="dxa"/>
              <w:left w:w="120" w:type="dxa"/>
              <w:bottom w:w="80" w:type="dxa"/>
              <w:right w:w="120" w:type="dxa"/>
            </w:tcMar>
          </w:tcPr>
          <w:p w14:paraId="58700934" w14:textId="77777777" w:rsidR="001219DA" w:rsidRDefault="00000000">
            <w:r>
              <w:rPr>
                <w:sz w:val="20"/>
                <w:szCs w:val="20"/>
              </w:rPr>
              <w:t>1.0 (0.1–10)</w:t>
            </w:r>
          </w:p>
        </w:tc>
        <w:tc>
          <w:tcPr>
            <w:tcW w:w="3760" w:type="dxa"/>
            <w:tcBorders>
              <w:top w:val="single" w:sz="1" w:space="0" w:color="AAAAAA"/>
              <w:left w:val="single" w:sz="1" w:space="0" w:color="AAAAAA"/>
              <w:bottom w:val="single" w:sz="1" w:space="0" w:color="AAAAAA"/>
              <w:right w:val="single" w:sz="1" w:space="0" w:color="AAAAAA"/>
            </w:tcBorders>
            <w:shd w:val="clear" w:color="auto" w:fill="F4FAF4"/>
            <w:tcMar>
              <w:top w:w="80" w:type="dxa"/>
              <w:left w:w="120" w:type="dxa"/>
              <w:bottom w:w="80" w:type="dxa"/>
              <w:right w:w="120" w:type="dxa"/>
            </w:tcMar>
          </w:tcPr>
          <w:p w14:paraId="5D1E066D" w14:textId="77777777" w:rsidR="001219DA" w:rsidRDefault="00000000">
            <w:r>
              <w:rPr>
                <w:sz w:val="20"/>
                <w:szCs w:val="20"/>
              </w:rPr>
              <w:t>Physical depth of the cover layer. Typical mine covers: 0.5–2.0 m.</w:t>
            </w:r>
          </w:p>
        </w:tc>
      </w:tr>
      <w:tr w:rsidR="001219DA" w14:paraId="27D946A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BD8BD3" w14:textId="77777777" w:rsidR="001219DA" w:rsidRDefault="00000000">
            <w:r>
              <w:rPr>
                <w:sz w:val="20"/>
                <w:szCs w:val="20"/>
              </w:rPr>
              <w:t>Hydraulic Gradient (i)</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A9E1E9" w14:textId="77777777" w:rsidR="001219DA" w:rsidRDefault="00000000">
            <w:r>
              <w:rPr>
                <w:sz w:val="20"/>
                <w:szCs w:val="20"/>
              </w:rPr>
              <w:t>m/m</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4C93B1" w14:textId="77777777" w:rsidR="001219DA" w:rsidRDefault="00000000">
            <w:r>
              <w:rPr>
                <w:sz w:val="20"/>
                <w:szCs w:val="20"/>
              </w:rPr>
              <w:t>1.0 (0.01–10)</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CAC44B" w14:textId="77777777" w:rsidR="001219DA" w:rsidRDefault="00000000">
            <w:r>
              <w:rPr>
                <w:sz w:val="20"/>
                <w:szCs w:val="20"/>
              </w:rPr>
              <w:t>Driving head across the cover. Use 1.0 (unit gradient) as a conservative default for a saturated cover.</w:t>
            </w:r>
          </w:p>
        </w:tc>
      </w:tr>
      <w:tr w:rsidR="001219DA" w14:paraId="440D34E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4FAF4"/>
            <w:tcMar>
              <w:top w:w="80" w:type="dxa"/>
              <w:left w:w="120" w:type="dxa"/>
              <w:bottom w:w="80" w:type="dxa"/>
              <w:right w:w="120" w:type="dxa"/>
            </w:tcMar>
          </w:tcPr>
          <w:p w14:paraId="5578C44B" w14:textId="77777777" w:rsidR="001219DA" w:rsidRDefault="00000000">
            <w:r>
              <w:rPr>
                <w:sz w:val="20"/>
                <w:szCs w:val="20"/>
              </w:rPr>
              <w:t>Percolation Threshold</w:t>
            </w:r>
          </w:p>
        </w:tc>
        <w:tc>
          <w:tcPr>
            <w:tcW w:w="1400" w:type="dxa"/>
            <w:tcBorders>
              <w:top w:val="single" w:sz="1" w:space="0" w:color="AAAAAA"/>
              <w:left w:val="single" w:sz="1" w:space="0" w:color="AAAAAA"/>
              <w:bottom w:val="single" w:sz="1" w:space="0" w:color="AAAAAA"/>
              <w:right w:val="single" w:sz="1" w:space="0" w:color="AAAAAA"/>
            </w:tcBorders>
            <w:shd w:val="clear" w:color="auto" w:fill="F4FAF4"/>
            <w:tcMar>
              <w:top w:w="80" w:type="dxa"/>
              <w:left w:w="120" w:type="dxa"/>
              <w:bottom w:w="80" w:type="dxa"/>
              <w:right w:w="120" w:type="dxa"/>
            </w:tcMar>
          </w:tcPr>
          <w:p w14:paraId="150F579A" w14:textId="77777777" w:rsidR="001219DA" w:rsidRDefault="00000000">
            <w:r>
              <w:rPr>
                <w:sz w:val="20"/>
                <w:szCs w:val="20"/>
              </w:rPr>
              <w:t>mm/yr</w:t>
            </w:r>
          </w:p>
        </w:tc>
        <w:tc>
          <w:tcPr>
            <w:tcW w:w="2000" w:type="dxa"/>
            <w:tcBorders>
              <w:top w:val="single" w:sz="1" w:space="0" w:color="AAAAAA"/>
              <w:left w:val="single" w:sz="1" w:space="0" w:color="AAAAAA"/>
              <w:bottom w:val="single" w:sz="1" w:space="0" w:color="AAAAAA"/>
              <w:right w:val="single" w:sz="1" w:space="0" w:color="AAAAAA"/>
            </w:tcBorders>
            <w:shd w:val="clear" w:color="auto" w:fill="F4FAF4"/>
            <w:tcMar>
              <w:top w:w="80" w:type="dxa"/>
              <w:left w:w="120" w:type="dxa"/>
              <w:bottom w:w="80" w:type="dxa"/>
              <w:right w:w="120" w:type="dxa"/>
            </w:tcMar>
          </w:tcPr>
          <w:p w14:paraId="08A06712" w14:textId="77777777" w:rsidR="001219DA" w:rsidRDefault="00000000">
            <w:r>
              <w:rPr>
                <w:sz w:val="20"/>
                <w:szCs w:val="20"/>
              </w:rPr>
              <w:t>60 (preset options)</w:t>
            </w:r>
          </w:p>
        </w:tc>
        <w:tc>
          <w:tcPr>
            <w:tcW w:w="3760" w:type="dxa"/>
            <w:tcBorders>
              <w:top w:val="single" w:sz="1" w:space="0" w:color="AAAAAA"/>
              <w:left w:val="single" w:sz="1" w:space="0" w:color="AAAAAA"/>
              <w:bottom w:val="single" w:sz="1" w:space="0" w:color="AAAAAA"/>
              <w:right w:val="single" w:sz="1" w:space="0" w:color="AAAAAA"/>
            </w:tcBorders>
            <w:shd w:val="clear" w:color="auto" w:fill="F4FAF4"/>
            <w:tcMar>
              <w:top w:w="80" w:type="dxa"/>
              <w:left w:w="120" w:type="dxa"/>
              <w:bottom w:w="80" w:type="dxa"/>
              <w:right w:w="120" w:type="dxa"/>
            </w:tcMar>
          </w:tcPr>
          <w:p w14:paraId="0C9ED2E4" w14:textId="77777777" w:rsidR="001219DA" w:rsidRDefault="00000000">
            <w:r>
              <w:rPr>
                <w:sz w:val="20"/>
                <w:szCs w:val="20"/>
              </w:rPr>
              <w:t>Regulatory or design target. Options: 30 (stringent), 60 (moderate), 150 (relaxed), or custom.</w:t>
            </w:r>
          </w:p>
        </w:tc>
      </w:tr>
    </w:tbl>
    <w:p w14:paraId="7C4A972F" w14:textId="77777777" w:rsidR="001219DA" w:rsidRDefault="00000000">
      <w:pPr>
        <w:pStyle w:val="Heading1"/>
      </w:pPr>
      <w:r>
        <w:t>How the Tool Works</w:t>
      </w:r>
    </w:p>
    <w:p w14:paraId="5496EE5E" w14:textId="77777777" w:rsidR="001219DA" w:rsidRDefault="00000000">
      <w:pPr>
        <w:spacing w:after="120"/>
      </w:pPr>
      <w:r>
        <w:t>The tool executes a three-step water balance, then compares the result to the cover's hydraulic capacity:</w:t>
      </w:r>
    </w:p>
    <w:p w14:paraId="3D437593" w14:textId="77777777" w:rsidR="001219DA" w:rsidRPr="00B42C22" w:rsidRDefault="00000000">
      <w:pPr>
        <w:pStyle w:val="ListParagraph"/>
        <w:numPr>
          <w:ilvl w:val="0"/>
          <w:numId w:val="2"/>
        </w:numPr>
        <w:spacing w:after="60"/>
      </w:pPr>
      <w:r>
        <w:rPr>
          <w:b/>
          <w:bCs/>
        </w:rPr>
        <w:t>Runoff via SCS-CN Method</w:t>
      </w:r>
    </w:p>
    <w:p w14:paraId="0DB14968" w14:textId="37379AB6" w:rsidR="00B42C22" w:rsidRPr="00B42C22" w:rsidRDefault="00B42C22" w:rsidP="00B42C22">
      <w:pPr>
        <w:spacing w:after="60"/>
      </w:pPr>
      <m:oMathPara>
        <m:oMath>
          <m:eqArr>
            <m:eqArrPr>
              <m:maxDist m:val="1"/>
              <m:ctrlPr>
                <w:rPr>
                  <w:rFonts w:ascii="Cambria Math" w:hAnsi="Cambria Math"/>
                  <w:i/>
                </w:rPr>
              </m:ctrlPr>
            </m:eqArrPr>
            <m:e>
              <m:r>
                <w:rPr>
                  <w:rFonts w:ascii="Cambria Math" w:hAnsi="Cambria Math"/>
                </w:rPr>
                <m:t>S=</m:t>
              </m:r>
              <m:f>
                <m:fPr>
                  <m:ctrlPr>
                    <w:rPr>
                      <w:rFonts w:ascii="Cambria Math" w:hAnsi="Cambria Math"/>
                      <w:i/>
                    </w:rPr>
                  </m:ctrlPr>
                </m:fPr>
                <m:num>
                  <m:r>
                    <w:rPr>
                      <w:rFonts w:ascii="Cambria Math" w:hAnsi="Cambria Math"/>
                    </w:rPr>
                    <m:t>25,400</m:t>
                  </m:r>
                </m:num>
                <m:den>
                  <m:r>
                    <m:rPr>
                      <m:sty m:val="p"/>
                    </m:rPr>
                    <w:rPr>
                      <w:rFonts w:ascii="Cambria Math" w:hAnsi="Cambria Math"/>
                    </w:rPr>
                    <m:t>CN</m:t>
                  </m:r>
                </m:den>
              </m:f>
              <m:r>
                <w:rPr>
                  <w:rFonts w:ascii="Cambria Math" w:hAnsi="Cambria Math"/>
                </w:rPr>
                <m:t>-254#</m:t>
              </m:r>
              <m:d>
                <m:dPr>
                  <m:ctrlPr>
                    <w:rPr>
                      <w:rFonts w:ascii="Cambria Math" w:hAnsi="Cambria Math"/>
                      <w:i/>
                    </w:rPr>
                  </m:ctrlPr>
                </m:dPr>
                <m:e>
                  <m:r>
                    <w:rPr>
                      <w:rFonts w:ascii="Cambria Math" w:hAnsi="Cambria Math"/>
                    </w:rPr>
                    <m:t>1</m:t>
                  </m:r>
                </m:e>
              </m:d>
            </m:e>
          </m:eqArr>
        </m:oMath>
      </m:oMathPara>
    </w:p>
    <w:p w14:paraId="600251AE" w14:textId="026D1662" w:rsidR="001219DA" w:rsidRDefault="00B42C22" w:rsidP="00B42C22">
      <w:pPr>
        <w:spacing w:after="60"/>
      </w:pPr>
      <w:r>
        <w:t xml:space="preserve">Where </w:t>
      </w:r>
      <w:r>
        <w:rPr>
          <w:i/>
          <w:iCs/>
        </w:rPr>
        <w:t>S</w:t>
      </w:r>
      <w:r>
        <w:t xml:space="preserve"> is soil retention in mm.</w:t>
      </w:r>
    </w:p>
    <w:p w14:paraId="60C1209E" w14:textId="02A506B2" w:rsidR="00B42C22" w:rsidRPr="00B42C22" w:rsidRDefault="00B42C22" w:rsidP="00B42C22">
      <w:pPr>
        <w:spacing w:after="60"/>
      </w:pPr>
      <m:oMathPara>
        <m:oMath>
          <m:eqArr>
            <m:eqArrPr>
              <m:maxDist m:val="1"/>
              <m:ctrlPr>
                <w:rPr>
                  <w:rFonts w:ascii="Cambria Math" w:hAnsi="Cambria Math"/>
                  <w:i/>
                </w:rPr>
              </m:ctrlPr>
            </m:eqArrPr>
            <m:e>
              <m:r>
                <w:rPr>
                  <w:rFonts w:ascii="Cambria Math" w:hAnsi="Cambria Math"/>
                </w:rPr>
                <m:t>Q=</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P-0.2∙S</m:t>
                          </m:r>
                        </m:e>
                      </m:d>
                    </m:e>
                    <m:sup>
                      <m:r>
                        <w:rPr>
                          <w:rFonts w:ascii="Cambria Math" w:hAnsi="Cambria Math"/>
                        </w:rPr>
                        <m:t>2</m:t>
                      </m:r>
                    </m:sup>
                  </m:sSup>
                </m:num>
                <m:den>
                  <m:r>
                    <w:rPr>
                      <w:rFonts w:ascii="Cambria Math" w:hAnsi="Cambria Math"/>
                    </w:rPr>
                    <m:t>P+0.8∙S</m:t>
                  </m:r>
                </m:den>
              </m:f>
              <m:r>
                <w:rPr>
                  <w:rFonts w:ascii="Cambria Math" w:hAnsi="Cambria Math"/>
                </w:rPr>
                <m:t>#</m:t>
              </m:r>
              <m:d>
                <m:dPr>
                  <m:ctrlPr>
                    <w:rPr>
                      <w:rFonts w:ascii="Cambria Math" w:hAnsi="Cambria Math"/>
                      <w:i/>
                    </w:rPr>
                  </m:ctrlPr>
                </m:dPr>
                <m:e>
                  <m:r>
                    <w:rPr>
                      <w:rFonts w:ascii="Cambria Math" w:hAnsi="Cambria Math"/>
                    </w:rPr>
                    <m:t>2</m:t>
                  </m:r>
                </m:e>
              </m:d>
            </m:e>
          </m:eqArr>
        </m:oMath>
      </m:oMathPara>
    </w:p>
    <w:p w14:paraId="49B40BB7" w14:textId="0ABA3C6A" w:rsidR="001219DA" w:rsidRDefault="00000000">
      <w:pPr>
        <w:spacing w:after="120"/>
      </w:pPr>
      <w:r>
        <w:t>Annual precipitation (P) is split into surface runoff (Q</w:t>
      </w:r>
      <w:r w:rsidR="00B42C22">
        <w:t xml:space="preserve">, </w:t>
      </w:r>
      <m:oMath>
        <m:f>
          <m:fPr>
            <m:ctrlPr>
              <w:rPr>
                <w:rFonts w:ascii="Cambria Math" w:hAnsi="Cambria Math"/>
                <w:i/>
              </w:rPr>
            </m:ctrlPr>
          </m:fPr>
          <m:num>
            <m:r>
              <w:rPr>
                <w:rFonts w:ascii="Cambria Math" w:hAnsi="Cambria Math"/>
              </w:rPr>
              <m:t>mm</m:t>
            </m:r>
          </m:num>
          <m:den>
            <m:r>
              <w:rPr>
                <w:rFonts w:ascii="Cambria Math" w:hAnsi="Cambria Math"/>
              </w:rPr>
              <m:t>yr</m:t>
            </m:r>
          </m:den>
        </m:f>
      </m:oMath>
      <w:r>
        <w:t>) and net infiltration (P − Q) using the curve number. A higher CN produces more runoff.</w:t>
      </w:r>
    </w:p>
    <w:p w14:paraId="1B325A01" w14:textId="77777777" w:rsidR="001219DA" w:rsidRDefault="00000000">
      <w:pPr>
        <w:pStyle w:val="ListParagraph"/>
        <w:numPr>
          <w:ilvl w:val="0"/>
          <w:numId w:val="2"/>
        </w:numPr>
        <w:spacing w:after="60"/>
      </w:pPr>
      <w:r>
        <w:rPr>
          <w:b/>
          <w:bCs/>
        </w:rPr>
        <w:t>Evapotranspiration Removal</w:t>
      </w:r>
    </w:p>
    <w:p w14:paraId="7B81BA59" w14:textId="02183235" w:rsidR="00B42C22" w:rsidRPr="00B42C22" w:rsidRDefault="00B42C22">
      <w:pPr>
        <w:spacing w:after="100"/>
        <w:rPr>
          <w:rFonts w:ascii="Courier New" w:eastAsia="Courier New" w:hAnsi="Courier New" w:cs="Courier New"/>
        </w:rPr>
      </w:pPr>
      <m:oMathPara>
        <m:oMath>
          <m:eqArr>
            <m:eqArrPr>
              <m:maxDist m:val="1"/>
              <m:ctrlPr>
                <w:rPr>
                  <w:rFonts w:ascii="Cambria Math" w:hAnsi="Cambria Math"/>
                  <w:i/>
                </w:rPr>
              </m:ctrlPr>
            </m:eqArrPr>
            <m:e>
              <m:r>
                <w:rPr>
                  <w:rFonts w:ascii="Cambria Math" w:hAnsi="Cambria Math"/>
                </w:rPr>
                <m:t>∆W=</m:t>
              </m:r>
              <m:r>
                <m:rPr>
                  <m:sty m:val="p"/>
                </m:rPr>
                <w:rPr>
                  <w:rFonts w:ascii="Cambria Math" w:hAnsi="Cambria Math"/>
                </w:rPr>
                <m:t>max</m:t>
              </m:r>
              <m:d>
                <m:dPr>
                  <m:ctrlPr>
                    <w:rPr>
                      <w:rFonts w:ascii="Cambria Math" w:hAnsi="Cambria Math"/>
                      <w:i/>
                    </w:rPr>
                  </m:ctrlPr>
                </m:dPr>
                <m:e>
                  <m:r>
                    <w:rPr>
                      <w:rFonts w:ascii="Cambria Math" w:hAnsi="Cambria Math"/>
                    </w:rPr>
                    <m:t xml:space="preserve">0, </m:t>
                  </m:r>
                  <m:r>
                    <m:rPr>
                      <m:sty m:val="p"/>
                    </m:rPr>
                    <w:rPr>
                      <w:rFonts w:ascii="Cambria Math" w:hAnsi="Cambria Math"/>
                    </w:rPr>
                    <m:t>Infiltration-</m:t>
                  </m:r>
                  <m:r>
                    <w:rPr>
                      <w:rFonts w:ascii="Cambria Math" w:hAnsi="Cambria Math"/>
                    </w:rPr>
                    <m:t>ET</m:t>
                  </m:r>
                </m:e>
              </m:d>
              <m:r>
                <w:rPr>
                  <w:rFonts w:ascii="Cambria Math" w:hAnsi="Cambria Math"/>
                </w:rPr>
                <m:t>#</m:t>
              </m:r>
              <m:d>
                <m:dPr>
                  <m:ctrlPr>
                    <w:rPr>
                      <w:rFonts w:ascii="Cambria Math" w:hAnsi="Cambria Math"/>
                      <w:i/>
                    </w:rPr>
                  </m:ctrlPr>
                </m:dPr>
                <m:e>
                  <m:r>
                    <w:rPr>
                      <w:rFonts w:ascii="Cambria Math" w:hAnsi="Cambria Math"/>
                    </w:rPr>
                    <m:t>3</m:t>
                  </m:r>
                </m:e>
              </m:d>
            </m:e>
          </m:eqArr>
        </m:oMath>
      </m:oMathPara>
    </w:p>
    <w:p w14:paraId="0392AE15" w14:textId="77777777" w:rsidR="001219DA" w:rsidRDefault="00000000">
      <w:pPr>
        <w:spacing w:after="120"/>
      </w:pPr>
      <w:r>
        <w:t>The tool subtracts annual ET from net infiltration. If ET exceeds infiltration, no water is available for percolation (Δ</w:t>
      </w:r>
      <w:r w:rsidRPr="00B42C22">
        <w:rPr>
          <w:i/>
          <w:iCs/>
        </w:rPr>
        <w:t>W</w:t>
      </w:r>
      <w:r>
        <w:t xml:space="preserve"> = 0). This is the supply term.</w:t>
      </w:r>
    </w:p>
    <w:p w14:paraId="2D2D1E3E" w14:textId="77777777" w:rsidR="001219DA" w:rsidRDefault="00000000">
      <w:pPr>
        <w:pStyle w:val="ListParagraph"/>
        <w:numPr>
          <w:ilvl w:val="0"/>
          <w:numId w:val="2"/>
        </w:numPr>
        <w:spacing w:after="60"/>
      </w:pPr>
      <w:r>
        <w:rPr>
          <w:b/>
          <w:bCs/>
        </w:rPr>
        <w:t>Darcy's Law — Cover Hydraulic Capacity</w:t>
      </w:r>
    </w:p>
    <w:p w14:paraId="04A45965" w14:textId="45A296EA" w:rsidR="00B42C22" w:rsidRPr="00B42C22" w:rsidRDefault="00B42C22">
      <w:pPr>
        <w:spacing w:after="100"/>
        <w:rPr>
          <w:rFonts w:ascii="Courier New" w:eastAsia="Courier New" w:hAnsi="Courier New" w:cs="Courier New"/>
        </w:rPr>
      </w:pPr>
      <m:oMathPara>
        <m:oMath>
          <m:eqArr>
            <m:eqArrPr>
              <m:maxDist m:val="1"/>
              <m:ctrlPr>
                <w:rPr>
                  <w:rFonts w:ascii="Cambria Math" w:hAnsi="Cambria Math"/>
                  <w:i/>
                </w:rPr>
              </m:ctrlPr>
            </m:eqArrPr>
            <m:e>
              <m:r>
                <w:rPr>
                  <w:rFonts w:ascii="Cambria Math" w:hAnsi="Cambria Math"/>
                </w:rPr>
                <m:t>q=K∙i#</m:t>
              </m:r>
              <m:d>
                <m:dPr>
                  <m:ctrlPr>
                    <w:rPr>
                      <w:rFonts w:ascii="Cambria Math" w:hAnsi="Cambria Math"/>
                      <w:i/>
                    </w:rPr>
                  </m:ctrlPr>
                </m:dPr>
                <m:e>
                  <m:r>
                    <w:rPr>
                      <w:rFonts w:ascii="Cambria Math" w:hAnsi="Cambria Math"/>
                    </w:rPr>
                    <m:t>4</m:t>
                  </m:r>
                </m:e>
              </m:d>
            </m:e>
          </m:eqArr>
        </m:oMath>
      </m:oMathPara>
    </w:p>
    <w:p w14:paraId="6210E5FC" w14:textId="17ED2730" w:rsidR="001219DA" w:rsidRDefault="00B42C22">
      <w:pPr>
        <w:spacing w:after="120"/>
      </w:pPr>
      <w:r>
        <w:t xml:space="preserve">Where </w:t>
      </w:r>
      <w:r>
        <w:rPr>
          <w:i/>
          <w:iCs/>
        </w:rPr>
        <w:t>q</w:t>
      </w:r>
      <w:r>
        <w:t xml:space="preserve"> is specific discharge (</w:t>
      </w:r>
      <m:oMath>
        <m:f>
          <m:fPr>
            <m:ctrlPr>
              <w:rPr>
                <w:rFonts w:ascii="Cambria Math" w:hAnsi="Cambria Math"/>
                <w:i/>
              </w:rPr>
            </m:ctrlPr>
          </m:fPr>
          <m:num>
            <m:r>
              <w:rPr>
                <w:rFonts w:ascii="Cambria Math" w:hAnsi="Cambria Math"/>
              </w:rPr>
              <m:t>mm</m:t>
            </m:r>
          </m:num>
          <m:den>
            <m:r>
              <w:rPr>
                <w:rFonts w:ascii="Cambria Math" w:hAnsi="Cambria Math"/>
              </w:rPr>
              <m:t>yr</m:t>
            </m:r>
          </m:den>
        </m:f>
      </m:oMath>
      <w:r>
        <w:t>)</w:t>
      </w:r>
      <w:r w:rsidR="0053072A">
        <w:t xml:space="preserve"> and</w:t>
      </w:r>
      <w:r w:rsidR="00000000">
        <w:t xml:space="preserve"> represents the maximum rate the cover can transmit water downward under the given hydraulic gradient. This is the capacity term.</w:t>
      </w:r>
    </w:p>
    <w:p w14:paraId="3D53E816" w14:textId="77777777" w:rsidR="001219DA" w:rsidRDefault="00000000">
      <w:pPr>
        <w:pStyle w:val="ListParagraph"/>
        <w:numPr>
          <w:ilvl w:val="0"/>
          <w:numId w:val="2"/>
        </w:numPr>
        <w:spacing w:after="60"/>
      </w:pPr>
      <w:r>
        <w:rPr>
          <w:b/>
          <w:bCs/>
        </w:rPr>
        <w:t>Percolation — the Limiting Term</w:t>
      </w:r>
    </w:p>
    <w:p w14:paraId="56FB7147" w14:textId="77777777" w:rsidR="001219DA" w:rsidRDefault="00000000">
      <w:pPr>
        <w:spacing w:after="100"/>
        <w:rPr>
          <w:rFonts w:ascii="Courier New" w:eastAsia="Courier New" w:hAnsi="Courier New" w:cs="Courier New"/>
          <w:color w:val="2E5F2B"/>
          <w:sz w:val="20"/>
          <w:szCs w:val="20"/>
        </w:rPr>
      </w:pPr>
      <w:r>
        <w:rPr>
          <w:rFonts w:ascii="Courier New" w:eastAsia="Courier New" w:hAnsi="Courier New" w:cs="Courier New"/>
          <w:color w:val="2E5F2B"/>
          <w:sz w:val="20"/>
          <w:szCs w:val="20"/>
        </w:rPr>
        <w:t xml:space="preserve">   Percolation = min(ΔW, qₛ)</w:t>
      </w:r>
    </w:p>
    <w:p w14:paraId="5DCA4F78" w14:textId="7E7BB3FD" w:rsidR="0053072A" w:rsidRPr="0053072A" w:rsidRDefault="0053072A">
      <w:pPr>
        <w:spacing w:after="100"/>
        <w:rPr>
          <w:rFonts w:ascii="Courier New" w:eastAsia="Courier New" w:hAnsi="Courier New" w:cs="Courier New"/>
          <w:iCs/>
        </w:rPr>
      </w:pPr>
      <m:oMathPara>
        <m:oMath>
          <m:eqArr>
            <m:eqArrPr>
              <m:maxDist m:val="1"/>
              <m:ctrlPr>
                <w:rPr>
                  <w:rFonts w:ascii="Cambria Math" w:hAnsi="Cambria Math"/>
                  <w:i/>
                </w:rPr>
              </m:ctrlPr>
            </m:eqArrPr>
            <m:e>
              <m:r>
                <m:rPr>
                  <m:sty m:val="p"/>
                </m:rPr>
                <w:rPr>
                  <w:rFonts w:ascii="Cambria Math" w:hAnsi="Cambria Math"/>
                </w:rPr>
                <m:t>Percolation</m:t>
              </m:r>
              <m:r>
                <m:rPr>
                  <m:sty m:val="p"/>
                </m:rPr>
                <w:rPr>
                  <w:rFonts w:ascii="Cambria Math" w:hAnsi="Cambria Math"/>
                </w:rPr>
                <m:t>=min</m:t>
              </m:r>
              <m:d>
                <m:dPr>
                  <m:ctrlPr>
                    <w:rPr>
                      <w:rFonts w:ascii="Cambria Math" w:hAnsi="Cambria Math"/>
                    </w:rPr>
                  </m:ctrlPr>
                </m:dPr>
                <m:e>
                  <m:r>
                    <m:rPr>
                      <m:sty m:val="p"/>
                    </m:rPr>
                    <w:rPr>
                      <w:rFonts w:ascii="Cambria Math" w:hAnsi="Cambria Math"/>
                    </w:rPr>
                    <m:t>∆</m:t>
                  </m:r>
                  <m:r>
                    <w:rPr>
                      <w:rFonts w:ascii="Cambria Math" w:hAnsi="Cambria Math"/>
                    </w:rPr>
                    <m:t>W, q</m:t>
                  </m:r>
                </m:e>
              </m:d>
              <m:r>
                <w:rPr>
                  <w:rFonts w:ascii="Cambria Math" w:hAnsi="Cambria Math"/>
                </w:rPr>
                <m:t>#</m:t>
              </m:r>
              <m:d>
                <m:dPr>
                  <m:ctrlPr>
                    <w:rPr>
                      <w:rFonts w:ascii="Cambria Math" w:hAnsi="Cambria Math"/>
                      <w:i/>
                    </w:rPr>
                  </m:ctrlPr>
                </m:dPr>
                <m:e>
                  <m:r>
                    <w:rPr>
                      <w:rFonts w:ascii="Cambria Math" w:hAnsi="Cambria Math"/>
                    </w:rPr>
                    <m:t>5</m:t>
                  </m:r>
                </m:e>
              </m:d>
              <m:ctrlPr>
                <w:rPr>
                  <w:rFonts w:ascii="Cambria Math" w:hAnsi="Cambria Math"/>
                  <w:i/>
                  <w:iCs/>
                </w:rPr>
              </m:ctrlPr>
            </m:e>
          </m:eqArr>
        </m:oMath>
      </m:oMathPara>
    </w:p>
    <w:p w14:paraId="0735901B" w14:textId="74ADB6F3" w:rsidR="001219DA" w:rsidRDefault="00000000">
      <w:pPr>
        <w:spacing w:after="120"/>
      </w:pPr>
      <w:r>
        <w:t xml:space="preserve">Actual percolation is whichever is smaller: the water available after ET (supply-limited) or the </w:t>
      </w:r>
      <w:r w:rsidR="0053072A">
        <w:t>specific discharge</w:t>
      </w:r>
      <w:r>
        <w:t xml:space="preserve"> of the cover. If the cover </w:t>
      </w:r>
      <w:r w:rsidRPr="0053072A">
        <w:rPr>
          <w:i/>
          <w:iCs/>
        </w:rPr>
        <w:t>K</w:t>
      </w:r>
      <w:r>
        <w:t xml:space="preserve"> is very low, the cover limits flow even when water is available. If </w:t>
      </w:r>
      <w:r w:rsidRPr="0053072A">
        <w:rPr>
          <w:i/>
          <w:iCs/>
        </w:rPr>
        <w:t>K</w:t>
      </w:r>
      <w:r>
        <w:t xml:space="preserve"> is high, water supply controls.</w:t>
      </w:r>
    </w:p>
    <w:p w14:paraId="2CE61116" w14:textId="77777777" w:rsidR="001219DA" w:rsidRDefault="00000000">
      <w:pPr>
        <w:pStyle w:val="Heading1"/>
      </w:pPr>
      <w:r>
        <w:t>Outputs</w:t>
      </w:r>
    </w:p>
    <w:p w14:paraId="112A3217" w14:textId="77777777" w:rsidR="001219DA" w:rsidRDefault="001219DA">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00"/>
        <w:gridCol w:w="5360"/>
      </w:tblGrid>
      <w:tr w:rsidR="001219DA" w14:paraId="17C5FD58" w14:textId="77777777">
        <w:tblPrEx>
          <w:tblCellMar>
            <w:top w:w="0" w:type="dxa"/>
            <w:bottom w:w="0" w:type="dxa"/>
          </w:tblCellMar>
        </w:tblPrEx>
        <w:tc>
          <w:tcPr>
            <w:tcW w:w="2800" w:type="dxa"/>
            <w:tcBorders>
              <w:top w:val="single" w:sz="1" w:space="0" w:color="5A8A57"/>
              <w:left w:val="single" w:sz="1" w:space="0" w:color="5A8A57"/>
              <w:bottom w:val="single" w:sz="1" w:space="0" w:color="5A8A57"/>
              <w:right w:val="single" w:sz="1" w:space="0" w:color="5A8A57"/>
            </w:tcBorders>
            <w:shd w:val="clear" w:color="auto" w:fill="C8E6C5"/>
            <w:tcMar>
              <w:top w:w="100" w:type="dxa"/>
              <w:left w:w="120" w:type="dxa"/>
              <w:bottom w:w="100" w:type="dxa"/>
              <w:right w:w="120" w:type="dxa"/>
            </w:tcMar>
          </w:tcPr>
          <w:p w14:paraId="1AD05F92" w14:textId="77777777" w:rsidR="001219DA" w:rsidRDefault="00000000">
            <w:r>
              <w:rPr>
                <w:b/>
                <w:bCs/>
                <w:color w:val="1A4018"/>
                <w:sz w:val="20"/>
                <w:szCs w:val="20"/>
              </w:rPr>
              <w:t>Output</w:t>
            </w:r>
          </w:p>
        </w:tc>
        <w:tc>
          <w:tcPr>
            <w:tcW w:w="1200" w:type="dxa"/>
            <w:tcBorders>
              <w:top w:val="single" w:sz="1" w:space="0" w:color="5A8A57"/>
              <w:left w:val="single" w:sz="1" w:space="0" w:color="5A8A57"/>
              <w:bottom w:val="single" w:sz="1" w:space="0" w:color="5A8A57"/>
              <w:right w:val="single" w:sz="1" w:space="0" w:color="5A8A57"/>
            </w:tcBorders>
            <w:shd w:val="clear" w:color="auto" w:fill="C8E6C5"/>
            <w:tcMar>
              <w:top w:w="100" w:type="dxa"/>
              <w:left w:w="120" w:type="dxa"/>
              <w:bottom w:w="100" w:type="dxa"/>
              <w:right w:w="120" w:type="dxa"/>
            </w:tcMar>
          </w:tcPr>
          <w:p w14:paraId="46EF14E4" w14:textId="77777777" w:rsidR="001219DA" w:rsidRDefault="00000000">
            <w:r>
              <w:rPr>
                <w:b/>
                <w:bCs/>
                <w:color w:val="1A4018"/>
                <w:sz w:val="20"/>
                <w:szCs w:val="20"/>
              </w:rPr>
              <w:t>Units</w:t>
            </w:r>
          </w:p>
        </w:tc>
        <w:tc>
          <w:tcPr>
            <w:tcW w:w="5360" w:type="dxa"/>
            <w:tcBorders>
              <w:top w:val="single" w:sz="1" w:space="0" w:color="5A8A57"/>
              <w:left w:val="single" w:sz="1" w:space="0" w:color="5A8A57"/>
              <w:bottom w:val="single" w:sz="1" w:space="0" w:color="5A8A57"/>
              <w:right w:val="single" w:sz="1" w:space="0" w:color="5A8A57"/>
            </w:tcBorders>
            <w:shd w:val="clear" w:color="auto" w:fill="C8E6C5"/>
            <w:tcMar>
              <w:top w:w="100" w:type="dxa"/>
              <w:left w:w="120" w:type="dxa"/>
              <w:bottom w:w="100" w:type="dxa"/>
              <w:right w:w="120" w:type="dxa"/>
            </w:tcMar>
          </w:tcPr>
          <w:p w14:paraId="5D015926" w14:textId="77777777" w:rsidR="001219DA" w:rsidRDefault="00000000">
            <w:r>
              <w:rPr>
                <w:b/>
                <w:bCs/>
                <w:color w:val="1A4018"/>
                <w:sz w:val="20"/>
                <w:szCs w:val="20"/>
              </w:rPr>
              <w:t>What It Means</w:t>
            </w:r>
          </w:p>
        </w:tc>
      </w:tr>
      <w:tr w:rsidR="001219DA" w14:paraId="70054EBA"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4FAF4"/>
            <w:tcMar>
              <w:top w:w="80" w:type="dxa"/>
              <w:left w:w="120" w:type="dxa"/>
              <w:bottom w:w="80" w:type="dxa"/>
              <w:right w:w="120" w:type="dxa"/>
            </w:tcMar>
          </w:tcPr>
          <w:p w14:paraId="2194DA15" w14:textId="77777777" w:rsidR="001219DA" w:rsidRDefault="00000000">
            <w:r>
              <w:rPr>
                <w:sz w:val="20"/>
                <w:szCs w:val="20"/>
              </w:rPr>
              <w:t>Runoff (Q)</w:t>
            </w:r>
          </w:p>
        </w:tc>
        <w:tc>
          <w:tcPr>
            <w:tcW w:w="1200" w:type="dxa"/>
            <w:tcBorders>
              <w:top w:val="single" w:sz="1" w:space="0" w:color="AAAAAA"/>
              <w:left w:val="single" w:sz="1" w:space="0" w:color="AAAAAA"/>
              <w:bottom w:val="single" w:sz="1" w:space="0" w:color="AAAAAA"/>
              <w:right w:val="single" w:sz="1" w:space="0" w:color="AAAAAA"/>
            </w:tcBorders>
            <w:shd w:val="clear" w:color="auto" w:fill="F4FAF4"/>
            <w:tcMar>
              <w:top w:w="80" w:type="dxa"/>
              <w:left w:w="120" w:type="dxa"/>
              <w:bottom w:w="80" w:type="dxa"/>
              <w:right w:w="120" w:type="dxa"/>
            </w:tcMar>
          </w:tcPr>
          <w:p w14:paraId="667F2B8C" w14:textId="77777777" w:rsidR="001219DA" w:rsidRDefault="00000000">
            <w:r>
              <w:rPr>
                <w:sz w:val="20"/>
                <w:szCs w:val="20"/>
              </w:rPr>
              <w:t>mm/yr</w:t>
            </w:r>
          </w:p>
        </w:tc>
        <w:tc>
          <w:tcPr>
            <w:tcW w:w="5360" w:type="dxa"/>
            <w:tcBorders>
              <w:top w:val="single" w:sz="1" w:space="0" w:color="AAAAAA"/>
              <w:left w:val="single" w:sz="1" w:space="0" w:color="AAAAAA"/>
              <w:bottom w:val="single" w:sz="1" w:space="0" w:color="AAAAAA"/>
              <w:right w:val="single" w:sz="1" w:space="0" w:color="AAAAAA"/>
            </w:tcBorders>
            <w:shd w:val="clear" w:color="auto" w:fill="F4FAF4"/>
            <w:tcMar>
              <w:top w:w="80" w:type="dxa"/>
              <w:left w:w="120" w:type="dxa"/>
              <w:bottom w:w="80" w:type="dxa"/>
              <w:right w:w="120" w:type="dxa"/>
            </w:tcMar>
          </w:tcPr>
          <w:p w14:paraId="37B6847C" w14:textId="77777777" w:rsidR="001219DA" w:rsidRDefault="00000000">
            <w:r>
              <w:rPr>
                <w:sz w:val="20"/>
                <w:szCs w:val="20"/>
              </w:rPr>
              <w:t>Water that runs off the surface without infiltrating, calculated via the SCS-CN method.</w:t>
            </w:r>
          </w:p>
        </w:tc>
      </w:tr>
      <w:tr w:rsidR="001219DA" w14:paraId="4CA77AA7"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AA32EE" w14:textId="77777777" w:rsidR="001219DA" w:rsidRDefault="00000000">
            <w:r>
              <w:rPr>
                <w:sz w:val="20"/>
                <w:szCs w:val="20"/>
              </w:rPr>
              <w:t>Net Infiltration</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708398" w14:textId="77777777" w:rsidR="001219DA" w:rsidRDefault="00000000">
            <w:r>
              <w:rPr>
                <w:sz w:val="20"/>
                <w:szCs w:val="20"/>
              </w:rPr>
              <w:t>mm/yr</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751B5C" w14:textId="77777777" w:rsidR="001219DA" w:rsidRDefault="00000000">
            <w:r>
              <w:rPr>
                <w:sz w:val="20"/>
                <w:szCs w:val="20"/>
              </w:rPr>
              <w:t>Precipitation minus runoff. This is the water that enters the cover.</w:t>
            </w:r>
          </w:p>
        </w:tc>
      </w:tr>
      <w:tr w:rsidR="001219DA" w14:paraId="2C3FC5BA"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4FAF4"/>
            <w:tcMar>
              <w:top w:w="80" w:type="dxa"/>
              <w:left w:w="120" w:type="dxa"/>
              <w:bottom w:w="80" w:type="dxa"/>
              <w:right w:w="120" w:type="dxa"/>
            </w:tcMar>
          </w:tcPr>
          <w:p w14:paraId="50193787" w14:textId="77777777" w:rsidR="001219DA" w:rsidRDefault="00000000">
            <w:r>
              <w:rPr>
                <w:sz w:val="20"/>
                <w:szCs w:val="20"/>
              </w:rPr>
              <w:t>Water Available for Percolation</w:t>
            </w:r>
          </w:p>
        </w:tc>
        <w:tc>
          <w:tcPr>
            <w:tcW w:w="1200" w:type="dxa"/>
            <w:tcBorders>
              <w:top w:val="single" w:sz="1" w:space="0" w:color="AAAAAA"/>
              <w:left w:val="single" w:sz="1" w:space="0" w:color="AAAAAA"/>
              <w:bottom w:val="single" w:sz="1" w:space="0" w:color="AAAAAA"/>
              <w:right w:val="single" w:sz="1" w:space="0" w:color="AAAAAA"/>
            </w:tcBorders>
            <w:shd w:val="clear" w:color="auto" w:fill="F4FAF4"/>
            <w:tcMar>
              <w:top w:w="80" w:type="dxa"/>
              <w:left w:w="120" w:type="dxa"/>
              <w:bottom w:w="80" w:type="dxa"/>
              <w:right w:w="120" w:type="dxa"/>
            </w:tcMar>
          </w:tcPr>
          <w:p w14:paraId="72740E3B" w14:textId="77777777" w:rsidR="001219DA" w:rsidRDefault="00000000">
            <w:r>
              <w:rPr>
                <w:sz w:val="20"/>
                <w:szCs w:val="20"/>
              </w:rPr>
              <w:t>mm/yr</w:t>
            </w:r>
          </w:p>
        </w:tc>
        <w:tc>
          <w:tcPr>
            <w:tcW w:w="5360" w:type="dxa"/>
            <w:tcBorders>
              <w:top w:val="single" w:sz="1" w:space="0" w:color="AAAAAA"/>
              <w:left w:val="single" w:sz="1" w:space="0" w:color="AAAAAA"/>
              <w:bottom w:val="single" w:sz="1" w:space="0" w:color="AAAAAA"/>
              <w:right w:val="single" w:sz="1" w:space="0" w:color="AAAAAA"/>
            </w:tcBorders>
            <w:shd w:val="clear" w:color="auto" w:fill="F4FAF4"/>
            <w:tcMar>
              <w:top w:w="80" w:type="dxa"/>
              <w:left w:w="120" w:type="dxa"/>
              <w:bottom w:w="80" w:type="dxa"/>
              <w:right w:w="120" w:type="dxa"/>
            </w:tcMar>
          </w:tcPr>
          <w:p w14:paraId="6952E59E" w14:textId="77777777" w:rsidR="001219DA" w:rsidRDefault="00000000">
            <w:r>
              <w:rPr>
                <w:sz w:val="20"/>
                <w:szCs w:val="20"/>
              </w:rPr>
              <w:t>Infiltration minus ET. Water remaining after evapotranspiration is removed. If negative, ET exceeds infiltration and percolation = 0.</w:t>
            </w:r>
          </w:p>
        </w:tc>
      </w:tr>
      <w:tr w:rsidR="001219DA" w14:paraId="6AB1B1EA"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91368E" w14:textId="77777777" w:rsidR="001219DA" w:rsidRDefault="00000000">
            <w:r>
              <w:rPr>
                <w:sz w:val="20"/>
                <w:szCs w:val="20"/>
              </w:rPr>
              <w:t>Darcy Flux (q = K·i)</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E6B216" w14:textId="77777777" w:rsidR="001219DA" w:rsidRDefault="00000000">
            <w:r>
              <w:rPr>
                <w:sz w:val="20"/>
                <w:szCs w:val="20"/>
              </w:rPr>
              <w:t>mm/yr</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4AE14B" w14:textId="77777777" w:rsidR="001219DA" w:rsidRDefault="00000000">
            <w:r>
              <w:rPr>
                <w:sz w:val="20"/>
                <w:szCs w:val="20"/>
              </w:rPr>
              <w:t>The maximum rate the cover soil can transmit water downward. Set by soil hydraulic properties.</w:t>
            </w:r>
          </w:p>
        </w:tc>
      </w:tr>
      <w:tr w:rsidR="001219DA" w14:paraId="5588AAD4"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4FAF4"/>
            <w:tcMar>
              <w:top w:w="80" w:type="dxa"/>
              <w:left w:w="120" w:type="dxa"/>
              <w:bottom w:w="80" w:type="dxa"/>
              <w:right w:w="120" w:type="dxa"/>
            </w:tcMar>
          </w:tcPr>
          <w:p w14:paraId="3E035CA4" w14:textId="77777777" w:rsidR="001219DA" w:rsidRDefault="00000000">
            <w:r>
              <w:rPr>
                <w:sz w:val="20"/>
                <w:szCs w:val="20"/>
              </w:rPr>
              <w:t>Estimated Percolation</w:t>
            </w:r>
          </w:p>
        </w:tc>
        <w:tc>
          <w:tcPr>
            <w:tcW w:w="1200" w:type="dxa"/>
            <w:tcBorders>
              <w:top w:val="single" w:sz="1" w:space="0" w:color="AAAAAA"/>
              <w:left w:val="single" w:sz="1" w:space="0" w:color="AAAAAA"/>
              <w:bottom w:val="single" w:sz="1" w:space="0" w:color="AAAAAA"/>
              <w:right w:val="single" w:sz="1" w:space="0" w:color="AAAAAA"/>
            </w:tcBorders>
            <w:shd w:val="clear" w:color="auto" w:fill="F4FAF4"/>
            <w:tcMar>
              <w:top w:w="80" w:type="dxa"/>
              <w:left w:w="120" w:type="dxa"/>
              <w:bottom w:w="80" w:type="dxa"/>
              <w:right w:w="120" w:type="dxa"/>
            </w:tcMar>
          </w:tcPr>
          <w:p w14:paraId="2205C903" w14:textId="77777777" w:rsidR="001219DA" w:rsidRDefault="00000000">
            <w:r>
              <w:rPr>
                <w:sz w:val="20"/>
                <w:szCs w:val="20"/>
              </w:rPr>
              <w:t>mm/yr</w:t>
            </w:r>
          </w:p>
        </w:tc>
        <w:tc>
          <w:tcPr>
            <w:tcW w:w="5360" w:type="dxa"/>
            <w:tcBorders>
              <w:top w:val="single" w:sz="1" w:space="0" w:color="AAAAAA"/>
              <w:left w:val="single" w:sz="1" w:space="0" w:color="AAAAAA"/>
              <w:bottom w:val="single" w:sz="1" w:space="0" w:color="AAAAAA"/>
              <w:right w:val="single" w:sz="1" w:space="0" w:color="AAAAAA"/>
            </w:tcBorders>
            <w:shd w:val="clear" w:color="auto" w:fill="F4FAF4"/>
            <w:tcMar>
              <w:top w:w="80" w:type="dxa"/>
              <w:left w:w="120" w:type="dxa"/>
              <w:bottom w:w="80" w:type="dxa"/>
              <w:right w:w="120" w:type="dxa"/>
            </w:tcMar>
          </w:tcPr>
          <w:p w14:paraId="52FD2BDD" w14:textId="77777777" w:rsidR="001219DA" w:rsidRDefault="00000000">
            <w:r>
              <w:rPr>
                <w:sz w:val="20"/>
                <w:szCs w:val="20"/>
              </w:rPr>
              <w:t>The lesser of water available and Darcy flux — whichever limits flow controls the result.</w:t>
            </w:r>
          </w:p>
        </w:tc>
      </w:tr>
      <w:tr w:rsidR="001219DA" w14:paraId="2CE2D1DF"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0E7648" w14:textId="77777777" w:rsidR="001219DA" w:rsidRDefault="00000000">
            <w:r>
              <w:rPr>
                <w:sz w:val="20"/>
                <w:szCs w:val="20"/>
              </w:rPr>
              <w:t>Verdict (Pass / Warn / Fail)</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DC9E3F" w14:textId="77777777" w:rsidR="001219DA" w:rsidRDefault="00000000">
            <w:r>
              <w:rPr>
                <w:sz w:val="20"/>
                <w:szCs w:val="20"/>
              </w:rPr>
              <w:t>—</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AF948E" w14:textId="77777777" w:rsidR="001219DA" w:rsidRDefault="00000000">
            <w:r>
              <w:rPr>
                <w:sz w:val="20"/>
                <w:szCs w:val="20"/>
              </w:rPr>
              <w:t>Compares estimated percolation to the selected threshold. Includes a plain-language explanation of the controlling factor.</w:t>
            </w:r>
          </w:p>
        </w:tc>
      </w:tr>
      <w:tr w:rsidR="001219DA" w14:paraId="2446FB9E"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4FAF4"/>
            <w:tcMar>
              <w:top w:w="80" w:type="dxa"/>
              <w:left w:w="120" w:type="dxa"/>
              <w:bottom w:w="80" w:type="dxa"/>
              <w:right w:w="120" w:type="dxa"/>
            </w:tcMar>
          </w:tcPr>
          <w:p w14:paraId="149A2587" w14:textId="77777777" w:rsidR="001219DA" w:rsidRDefault="00000000">
            <w:r>
              <w:rPr>
                <w:sz w:val="20"/>
                <w:szCs w:val="20"/>
              </w:rPr>
              <w:t>Water Balance Bar Chart</w:t>
            </w:r>
          </w:p>
        </w:tc>
        <w:tc>
          <w:tcPr>
            <w:tcW w:w="1200" w:type="dxa"/>
            <w:tcBorders>
              <w:top w:val="single" w:sz="1" w:space="0" w:color="AAAAAA"/>
              <w:left w:val="single" w:sz="1" w:space="0" w:color="AAAAAA"/>
              <w:bottom w:val="single" w:sz="1" w:space="0" w:color="AAAAAA"/>
              <w:right w:val="single" w:sz="1" w:space="0" w:color="AAAAAA"/>
            </w:tcBorders>
            <w:shd w:val="clear" w:color="auto" w:fill="F4FAF4"/>
            <w:tcMar>
              <w:top w:w="80" w:type="dxa"/>
              <w:left w:w="120" w:type="dxa"/>
              <w:bottom w:w="80" w:type="dxa"/>
              <w:right w:w="120" w:type="dxa"/>
            </w:tcMar>
          </w:tcPr>
          <w:p w14:paraId="789E6F23" w14:textId="77777777" w:rsidR="001219DA" w:rsidRDefault="00000000">
            <w:r>
              <w:rPr>
                <w:sz w:val="20"/>
                <w:szCs w:val="20"/>
              </w:rPr>
              <w:t>% of P</w:t>
            </w:r>
          </w:p>
        </w:tc>
        <w:tc>
          <w:tcPr>
            <w:tcW w:w="5360" w:type="dxa"/>
            <w:tcBorders>
              <w:top w:val="single" w:sz="1" w:space="0" w:color="AAAAAA"/>
              <w:left w:val="single" w:sz="1" w:space="0" w:color="AAAAAA"/>
              <w:bottom w:val="single" w:sz="1" w:space="0" w:color="AAAAAA"/>
              <w:right w:val="single" w:sz="1" w:space="0" w:color="AAAAAA"/>
            </w:tcBorders>
            <w:shd w:val="clear" w:color="auto" w:fill="F4FAF4"/>
            <w:tcMar>
              <w:top w:w="80" w:type="dxa"/>
              <w:left w:w="120" w:type="dxa"/>
              <w:bottom w:w="80" w:type="dxa"/>
              <w:right w:w="120" w:type="dxa"/>
            </w:tcMar>
          </w:tcPr>
          <w:p w14:paraId="711A9805" w14:textId="77777777" w:rsidR="001219DA" w:rsidRDefault="00000000">
            <w:r>
              <w:rPr>
                <w:sz w:val="20"/>
                <w:szCs w:val="20"/>
              </w:rPr>
              <w:t>Visual breakdown showing how precipitation is partitioned into runoff, ET, percolation, and soil storage.</w:t>
            </w:r>
          </w:p>
        </w:tc>
      </w:tr>
    </w:tbl>
    <w:p w14:paraId="522FA35B" w14:textId="77777777" w:rsidR="001219DA" w:rsidRDefault="001219DA">
      <w:pPr>
        <w:spacing w:after="200"/>
      </w:pPr>
    </w:p>
    <w:p w14:paraId="089AB46D" w14:textId="77777777" w:rsidR="001219DA" w:rsidRDefault="00000000">
      <w:pPr>
        <w:pStyle w:val="Heading1"/>
      </w:pPr>
      <w:r>
        <w:t>Interpreting Results</w:t>
      </w:r>
    </w:p>
    <w:p w14:paraId="32086F53" w14:textId="77777777" w:rsidR="001219DA" w:rsidRDefault="00000000">
      <w:pPr>
        <w:pStyle w:val="Heading2"/>
      </w:pPr>
      <w:r>
        <w:lastRenderedPageBreak/>
        <w:t>Verdict Flags</w:t>
      </w:r>
    </w:p>
    <w:p w14:paraId="08A37FB3" w14:textId="2F882405" w:rsidR="001219DA" w:rsidRDefault="00000000">
      <w:pPr>
        <w:pStyle w:val="ListParagraph"/>
        <w:numPr>
          <w:ilvl w:val="0"/>
          <w:numId w:val="3"/>
        </w:numPr>
        <w:spacing w:after="80"/>
      </w:pPr>
      <w:r>
        <w:t>Pass: Percolation is ≤75% of the threshold. The cover design is meeting the target with margin.</w:t>
      </w:r>
    </w:p>
    <w:p w14:paraId="0366A084" w14:textId="4750755F" w:rsidR="001219DA" w:rsidRDefault="00000000">
      <w:pPr>
        <w:pStyle w:val="ListParagraph"/>
        <w:numPr>
          <w:ilvl w:val="0"/>
          <w:numId w:val="3"/>
        </w:numPr>
        <w:spacing w:after="80"/>
      </w:pPr>
      <w:r>
        <w:t>Marginal / Warn: Percolation is 75–100% of the threshold. The design is borderline; apply a safety factor or refine inputs.</w:t>
      </w:r>
    </w:p>
    <w:p w14:paraId="13289B0F" w14:textId="74B3A955" w:rsidR="001219DA" w:rsidRDefault="00000000">
      <w:pPr>
        <w:pStyle w:val="ListParagraph"/>
        <w:numPr>
          <w:ilvl w:val="0"/>
          <w:numId w:val="3"/>
        </w:numPr>
        <w:spacing w:after="80"/>
      </w:pPr>
      <w:r>
        <w:t>Fail: Percolation exceeds the threshold. The cover design requires modification.</w:t>
      </w:r>
    </w:p>
    <w:p w14:paraId="17D13D48" w14:textId="77777777" w:rsidR="001219DA" w:rsidRDefault="001219DA">
      <w:pPr>
        <w:spacing w:after="120"/>
      </w:pPr>
    </w:p>
    <w:p w14:paraId="5128BAC9" w14:textId="77777777" w:rsidR="001219DA" w:rsidRDefault="00000000">
      <w:pPr>
        <w:pStyle w:val="Heading2"/>
      </w:pPr>
      <w:r>
        <w:t>Diagnosing What Controls Percolation</w:t>
      </w:r>
    </w:p>
    <w:p w14:paraId="2292A3BD" w14:textId="77777777" w:rsidR="001219DA" w:rsidRDefault="00000000">
      <w:pPr>
        <w:spacing w:after="120"/>
      </w:pPr>
      <w:r>
        <w:t>The verdict message tells you which mechanism is controlling:</w:t>
      </w:r>
    </w:p>
    <w:p w14:paraId="6EA040A8" w14:textId="14DA8EF0" w:rsidR="001219DA" w:rsidRDefault="00000000">
      <w:pPr>
        <w:pStyle w:val="ListParagraph"/>
        <w:numPr>
          <w:ilvl w:val="0"/>
          <w:numId w:val="3"/>
        </w:numPr>
        <w:spacing w:after="80"/>
      </w:pPr>
      <w:r>
        <w:t>Supply-limited: To further reduce percolation, increase vegetative ET or surface CN. Reducing K alone will not help if water supply is already the bottleneck.</w:t>
      </w:r>
    </w:p>
    <w:p w14:paraId="14DD5350" w14:textId="7FBEF1E4" w:rsidR="001219DA" w:rsidRDefault="00000000">
      <w:pPr>
        <w:pStyle w:val="ListParagraph"/>
        <w:numPr>
          <w:ilvl w:val="0"/>
          <w:numId w:val="3"/>
        </w:numPr>
        <w:spacing w:after="80"/>
      </w:pPr>
      <w:r>
        <w:t>Capacity-limited</w:t>
      </w:r>
      <w:r w:rsidR="0053072A">
        <w:t xml:space="preserve">: </w:t>
      </w:r>
      <w:r>
        <w:t>To reduce percolation, reduce the hydraulic conductivity of the cover soil, or add a geomembrane layer. The current soil is transmitting water faster than the water balance can remove it through other pathways.</w:t>
      </w:r>
    </w:p>
    <w:p w14:paraId="09D1D54B" w14:textId="77777777" w:rsidR="001219DA" w:rsidRDefault="001219DA">
      <w:pPr>
        <w:spacing w:after="120"/>
      </w:pPr>
    </w:p>
    <w:p w14:paraId="51F05EAF" w14:textId="77777777" w:rsidR="001219DA" w:rsidRDefault="00000000">
      <w:pPr>
        <w:pStyle w:val="Heading2"/>
      </w:pPr>
      <w:r>
        <w:t>Threshold Selection Guidance</w:t>
      </w:r>
    </w:p>
    <w:p w14:paraId="0D6D4182" w14:textId="77777777" w:rsidR="001219DA" w:rsidRDefault="00000000">
      <w:pPr>
        <w:pStyle w:val="ListParagraph"/>
        <w:numPr>
          <w:ilvl w:val="0"/>
          <w:numId w:val="3"/>
        </w:numPr>
        <w:spacing w:after="80"/>
      </w:pPr>
      <w:r>
        <w:t>30 mm/yr: Use for acid-generating tailings, wet climates, or sites near sensitive water bodies where leachate is highly harmful.</w:t>
      </w:r>
    </w:p>
    <w:p w14:paraId="3376DB37" w14:textId="77777777" w:rsidR="001219DA" w:rsidRDefault="00000000">
      <w:pPr>
        <w:pStyle w:val="ListParagraph"/>
        <w:numPr>
          <w:ilvl w:val="0"/>
          <w:numId w:val="3"/>
        </w:numPr>
        <w:spacing w:after="80"/>
      </w:pPr>
      <w:r>
        <w:t>60 mm/yr: General default used in many state and EPA guidance documents for mine cover design.</w:t>
      </w:r>
    </w:p>
    <w:p w14:paraId="71C48F4A" w14:textId="77777777" w:rsidR="001219DA" w:rsidRDefault="00000000">
      <w:pPr>
        <w:pStyle w:val="ListParagraph"/>
        <w:numPr>
          <w:ilvl w:val="0"/>
          <w:numId w:val="3"/>
        </w:numPr>
        <w:spacing w:after="80"/>
      </w:pPr>
      <w:r>
        <w:t>150 mm/yr: Appropriate only for arid sites where low precipitation naturally limits flux, or for low-risk tailings.</w:t>
      </w:r>
    </w:p>
    <w:p w14:paraId="1CBA0092" w14:textId="77777777" w:rsidR="001219DA" w:rsidRDefault="001219DA">
      <w:pPr>
        <w:spacing w:after="120"/>
      </w:pPr>
    </w:p>
    <w:p w14:paraId="26B4B017" w14:textId="77777777" w:rsidR="001219DA" w:rsidRDefault="00000000">
      <w:pPr>
        <w:pStyle w:val="Heading1"/>
      </w:pPr>
      <w:r>
        <w:t>Important Limitations</w:t>
      </w:r>
    </w:p>
    <w:p w14:paraId="7CD42E08" w14:textId="3F0D6F8D" w:rsidR="001219DA" w:rsidRDefault="00000000">
      <w:pPr>
        <w:spacing w:after="120"/>
      </w:pPr>
      <w:r>
        <w:t>This tool uses a simplified annual water balance. Results are estimates and should not substitute for a full site study or regulatory-approved modeling. Key simplifications to be aware of:</w:t>
      </w:r>
    </w:p>
    <w:p w14:paraId="72F6D447" w14:textId="77777777" w:rsidR="001219DA" w:rsidRDefault="00000000">
      <w:pPr>
        <w:pStyle w:val="ListParagraph"/>
        <w:numPr>
          <w:ilvl w:val="0"/>
          <w:numId w:val="3"/>
        </w:numPr>
        <w:spacing w:after="80"/>
      </w:pPr>
      <w:r>
        <w:t>Annual averaging: Seasonal variation, storm events, and snowmelt pulses are not captured. A single large storm can drive percolation that the annual model underestimates.</w:t>
      </w:r>
    </w:p>
    <w:p w14:paraId="023A8CE0" w14:textId="77777777" w:rsidR="001219DA" w:rsidRDefault="00000000">
      <w:pPr>
        <w:pStyle w:val="ListParagraph"/>
        <w:numPr>
          <w:ilvl w:val="0"/>
          <w:numId w:val="3"/>
        </w:numPr>
        <w:spacing w:after="80"/>
      </w:pPr>
      <w:r>
        <w:t>ET is assumed fully available: In reality, ET is often limited by soil moisture. In dry years, the tool may overestimate ET removal.</w:t>
      </w:r>
    </w:p>
    <w:p w14:paraId="1B3B2234" w14:textId="77777777" w:rsidR="001219DA" w:rsidRDefault="00000000">
      <w:pPr>
        <w:pStyle w:val="ListParagraph"/>
        <w:numPr>
          <w:ilvl w:val="0"/>
          <w:numId w:val="3"/>
        </w:numPr>
        <w:spacing w:after="80"/>
      </w:pPr>
      <w:r>
        <w:t>No preferential flow: Macropores, freeze-thaw cracks, and settling-induced cracks can dramatically increase percolation beyond what Darcy's Law predicts.</w:t>
      </w:r>
    </w:p>
    <w:p w14:paraId="469BDA8B" w14:textId="77777777" w:rsidR="001219DA" w:rsidRDefault="00000000">
      <w:pPr>
        <w:pStyle w:val="ListParagraph"/>
        <w:numPr>
          <w:ilvl w:val="0"/>
          <w:numId w:val="3"/>
        </w:numPr>
        <w:spacing w:after="80"/>
      </w:pPr>
      <w:r>
        <w:t>Uniform cover assumed: The tool models one homogeneous layer. Multi-layer covers (e.g., drainage blanket + clay barrier) require a more complex analysis.</w:t>
      </w:r>
    </w:p>
    <w:p w14:paraId="53D1F7C0" w14:textId="36E30A43" w:rsidR="001219DA" w:rsidRDefault="00000000" w:rsidP="0053072A">
      <w:pPr>
        <w:pStyle w:val="ListParagraph"/>
        <w:numPr>
          <w:ilvl w:val="0"/>
          <w:numId w:val="3"/>
        </w:numPr>
        <w:spacing w:after="80"/>
      </w:pPr>
      <w:r>
        <w:t>Static hydraulic gradient: Real gradient varies with moisture content and saturation state.</w:t>
      </w:r>
    </w:p>
    <w:sectPr w:rsidR="001219D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44C79"/>
    <w:multiLevelType w:val="hybridMultilevel"/>
    <w:tmpl w:val="0B309F1C"/>
    <w:lvl w:ilvl="0" w:tplc="683AF6DC">
      <w:start w:val="1"/>
      <w:numFmt w:val="bullet"/>
      <w:lvlText w:val="•"/>
      <w:lvlJc w:val="left"/>
      <w:pPr>
        <w:ind w:left="720" w:hanging="360"/>
      </w:pPr>
    </w:lvl>
    <w:lvl w:ilvl="1" w:tplc="01C2D416">
      <w:numFmt w:val="decimal"/>
      <w:lvlText w:val=""/>
      <w:lvlJc w:val="left"/>
    </w:lvl>
    <w:lvl w:ilvl="2" w:tplc="EB2805E2">
      <w:numFmt w:val="decimal"/>
      <w:lvlText w:val=""/>
      <w:lvlJc w:val="left"/>
    </w:lvl>
    <w:lvl w:ilvl="3" w:tplc="F7623076">
      <w:numFmt w:val="decimal"/>
      <w:lvlText w:val=""/>
      <w:lvlJc w:val="left"/>
    </w:lvl>
    <w:lvl w:ilvl="4" w:tplc="7A64CD06">
      <w:numFmt w:val="decimal"/>
      <w:lvlText w:val=""/>
      <w:lvlJc w:val="left"/>
    </w:lvl>
    <w:lvl w:ilvl="5" w:tplc="F246E636">
      <w:numFmt w:val="decimal"/>
      <w:lvlText w:val=""/>
      <w:lvlJc w:val="left"/>
    </w:lvl>
    <w:lvl w:ilvl="6" w:tplc="2508E5E0">
      <w:numFmt w:val="decimal"/>
      <w:lvlText w:val=""/>
      <w:lvlJc w:val="left"/>
    </w:lvl>
    <w:lvl w:ilvl="7" w:tplc="73B0878E">
      <w:numFmt w:val="decimal"/>
      <w:lvlText w:val=""/>
      <w:lvlJc w:val="left"/>
    </w:lvl>
    <w:lvl w:ilvl="8" w:tplc="DDD283DE">
      <w:numFmt w:val="decimal"/>
      <w:lvlText w:val=""/>
      <w:lvlJc w:val="left"/>
    </w:lvl>
  </w:abstractNum>
  <w:abstractNum w:abstractNumId="1" w15:restartNumberingAfterBreak="0">
    <w:nsid w:val="3B91694E"/>
    <w:multiLevelType w:val="hybridMultilevel"/>
    <w:tmpl w:val="302EA000"/>
    <w:lvl w:ilvl="0" w:tplc="8F3C814A">
      <w:start w:val="1"/>
      <w:numFmt w:val="decimal"/>
      <w:lvlText w:val="%1."/>
      <w:lvlJc w:val="left"/>
      <w:pPr>
        <w:ind w:left="720" w:hanging="360"/>
      </w:pPr>
    </w:lvl>
    <w:lvl w:ilvl="1" w:tplc="63925ED0">
      <w:numFmt w:val="decimal"/>
      <w:lvlText w:val=""/>
      <w:lvlJc w:val="left"/>
    </w:lvl>
    <w:lvl w:ilvl="2" w:tplc="B694DC5E">
      <w:numFmt w:val="decimal"/>
      <w:lvlText w:val=""/>
      <w:lvlJc w:val="left"/>
    </w:lvl>
    <w:lvl w:ilvl="3" w:tplc="C62C2E6E">
      <w:numFmt w:val="decimal"/>
      <w:lvlText w:val=""/>
      <w:lvlJc w:val="left"/>
    </w:lvl>
    <w:lvl w:ilvl="4" w:tplc="7A1C0A02">
      <w:numFmt w:val="decimal"/>
      <w:lvlText w:val=""/>
      <w:lvlJc w:val="left"/>
    </w:lvl>
    <w:lvl w:ilvl="5" w:tplc="697C2E4C">
      <w:numFmt w:val="decimal"/>
      <w:lvlText w:val=""/>
      <w:lvlJc w:val="left"/>
    </w:lvl>
    <w:lvl w:ilvl="6" w:tplc="9FB6B3DA">
      <w:numFmt w:val="decimal"/>
      <w:lvlText w:val=""/>
      <w:lvlJc w:val="left"/>
    </w:lvl>
    <w:lvl w:ilvl="7" w:tplc="55643BAE">
      <w:numFmt w:val="decimal"/>
      <w:lvlText w:val=""/>
      <w:lvlJc w:val="left"/>
    </w:lvl>
    <w:lvl w:ilvl="8" w:tplc="CE146EBC">
      <w:numFmt w:val="decimal"/>
      <w:lvlText w:val=""/>
      <w:lvlJc w:val="left"/>
    </w:lvl>
  </w:abstractNum>
  <w:abstractNum w:abstractNumId="2" w15:restartNumberingAfterBreak="0">
    <w:nsid w:val="41093779"/>
    <w:multiLevelType w:val="hybridMultilevel"/>
    <w:tmpl w:val="30488B0A"/>
    <w:lvl w:ilvl="0" w:tplc="7C2E5A1C">
      <w:start w:val="1"/>
      <w:numFmt w:val="bullet"/>
      <w:lvlText w:val="●"/>
      <w:lvlJc w:val="left"/>
      <w:pPr>
        <w:ind w:left="720" w:hanging="360"/>
      </w:pPr>
    </w:lvl>
    <w:lvl w:ilvl="1" w:tplc="5268C320">
      <w:start w:val="1"/>
      <w:numFmt w:val="bullet"/>
      <w:lvlText w:val="○"/>
      <w:lvlJc w:val="left"/>
      <w:pPr>
        <w:ind w:left="1440" w:hanging="360"/>
      </w:pPr>
    </w:lvl>
    <w:lvl w:ilvl="2" w:tplc="51127F32">
      <w:start w:val="1"/>
      <w:numFmt w:val="bullet"/>
      <w:lvlText w:val="■"/>
      <w:lvlJc w:val="left"/>
      <w:pPr>
        <w:ind w:left="2160" w:hanging="360"/>
      </w:pPr>
    </w:lvl>
    <w:lvl w:ilvl="3" w:tplc="4634C8FC">
      <w:start w:val="1"/>
      <w:numFmt w:val="bullet"/>
      <w:lvlText w:val="●"/>
      <w:lvlJc w:val="left"/>
      <w:pPr>
        <w:ind w:left="2880" w:hanging="360"/>
      </w:pPr>
    </w:lvl>
    <w:lvl w:ilvl="4" w:tplc="FE14D502">
      <w:start w:val="1"/>
      <w:numFmt w:val="bullet"/>
      <w:lvlText w:val="○"/>
      <w:lvlJc w:val="left"/>
      <w:pPr>
        <w:ind w:left="3600" w:hanging="360"/>
      </w:pPr>
    </w:lvl>
    <w:lvl w:ilvl="5" w:tplc="24B6A038">
      <w:start w:val="1"/>
      <w:numFmt w:val="bullet"/>
      <w:lvlText w:val="■"/>
      <w:lvlJc w:val="left"/>
      <w:pPr>
        <w:ind w:left="4320" w:hanging="360"/>
      </w:pPr>
    </w:lvl>
    <w:lvl w:ilvl="6" w:tplc="FC8C4FAC">
      <w:start w:val="1"/>
      <w:numFmt w:val="bullet"/>
      <w:lvlText w:val="●"/>
      <w:lvlJc w:val="left"/>
      <w:pPr>
        <w:ind w:left="5040" w:hanging="360"/>
      </w:pPr>
    </w:lvl>
    <w:lvl w:ilvl="7" w:tplc="CF8021FC">
      <w:start w:val="1"/>
      <w:numFmt w:val="bullet"/>
      <w:lvlText w:val="●"/>
      <w:lvlJc w:val="left"/>
      <w:pPr>
        <w:ind w:left="5760" w:hanging="360"/>
      </w:pPr>
    </w:lvl>
    <w:lvl w:ilvl="8" w:tplc="0E5AFAA0">
      <w:start w:val="1"/>
      <w:numFmt w:val="bullet"/>
      <w:lvlText w:val="●"/>
      <w:lvlJc w:val="left"/>
      <w:pPr>
        <w:ind w:left="6480" w:hanging="360"/>
      </w:pPr>
    </w:lvl>
  </w:abstractNum>
  <w:num w:numId="1" w16cid:durableId="1582449841">
    <w:abstractNumId w:val="2"/>
    <w:lvlOverride w:ilvl="0">
      <w:startOverride w:val="1"/>
    </w:lvlOverride>
  </w:num>
  <w:num w:numId="2" w16cid:durableId="1797331476">
    <w:abstractNumId w:val="1"/>
    <w:lvlOverride w:ilvl="0">
      <w:startOverride w:val="1"/>
    </w:lvlOverride>
  </w:num>
  <w:num w:numId="3" w16cid:durableId="9771035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19DA"/>
    <w:rsid w:val="001219DA"/>
    <w:rsid w:val="0053072A"/>
    <w:rsid w:val="00B42C22"/>
    <w:rsid w:val="00F11B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6F54F"/>
  <w15:docId w15:val="{06A2099B-2606-4C0A-BE13-A22109508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5F2B"/>
      <w:sz w:val="28"/>
      <w:szCs w:val="28"/>
    </w:rPr>
  </w:style>
  <w:style w:type="paragraph" w:styleId="Heading2">
    <w:name w:val="heading 2"/>
    <w:uiPriority w:val="9"/>
    <w:unhideWhenUsed/>
    <w:qFormat/>
    <w:pPr>
      <w:spacing w:before="240" w:after="120"/>
      <w:outlineLvl w:val="1"/>
    </w:pPr>
    <w:rPr>
      <w:b/>
      <w:bCs/>
      <w:color w:val="3A7A3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PlaceholderText">
    <w:name w:val="Placeholder Text"/>
    <w:basedOn w:val="DefaultParagraphFont"/>
    <w:uiPriority w:val="99"/>
    <w:semiHidden/>
    <w:rsid w:val="00B42C2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885</Words>
  <Characters>5046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Vecchiet,Luke</cp:lastModifiedBy>
  <cp:revision>2</cp:revision>
  <dcterms:created xsi:type="dcterms:W3CDTF">2026-04-22T17:41:00Z</dcterms:created>
  <dcterms:modified xsi:type="dcterms:W3CDTF">2026-04-22T18:03:00Z</dcterms:modified>
</cp:coreProperties>
</file>