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41AD" w14:textId="77777777" w:rsidR="00823E1B" w:rsidRDefault="00000000">
      <w:pPr>
        <w:spacing w:after="80"/>
      </w:pPr>
      <w:r>
        <w:rPr>
          <w:b/>
          <w:bCs/>
          <w:color w:val="1A4018"/>
          <w:sz w:val="36"/>
          <w:szCs w:val="36"/>
        </w:rPr>
        <w:t>Part 4: Reflection and Verification Judgment</w:t>
      </w:r>
    </w:p>
    <w:p w14:paraId="43A449D6" w14:textId="77777777" w:rsidR="00823E1B" w:rsidRDefault="00000000">
      <w:pPr>
        <w:spacing w:after="80"/>
      </w:pPr>
      <w:r>
        <w:rPr>
          <w:i/>
          <w:iCs/>
          <w:color w:val="3A7A36"/>
          <w:sz w:val="24"/>
          <w:szCs w:val="24"/>
        </w:rPr>
        <w:t>Mine Tailings Cover Percolation Estimator</w:t>
      </w:r>
    </w:p>
    <w:p w14:paraId="10B180BB" w14:textId="77777777" w:rsidR="00823E1B" w:rsidRDefault="00000000">
      <w:pPr>
        <w:pBdr>
          <w:bottom w:val="single" w:sz="4" w:space="8" w:color="C8E6C5"/>
        </w:pBdr>
        <w:spacing w:after="320"/>
      </w:pPr>
      <w:r>
        <w:rPr>
          <w:i/>
          <w:iCs/>
          <w:color w:val="888888"/>
          <w:sz w:val="18"/>
          <w:szCs w:val="18"/>
        </w:rPr>
        <w:t>CIVE 438 · Fundamentals of Environmental Engineering · Spring 2026</w:t>
      </w:r>
    </w:p>
    <w:p w14:paraId="04A449F9" w14:textId="77777777" w:rsidR="00823E1B" w:rsidRDefault="00000000">
      <w:pPr>
        <w:pStyle w:val="Heading1"/>
      </w:pPr>
      <w:r>
        <w:t>A. Verification: How Would You Check Whether the Output Is Trustworthy?</w:t>
      </w:r>
    </w:p>
    <w:p w14:paraId="2DB6863D" w14:textId="5B2E6F1D" w:rsidR="00823E1B" w:rsidRDefault="00000000">
      <w:pPr>
        <w:spacing w:after="160"/>
      </w:pPr>
      <w:r>
        <w:t xml:space="preserve">My primary advantage in verifying this tool is that mine tailings cover design is the subject of my senior design project. Specifically, my project involves designing a cover system for a tailings pile to prevent acid rock drainage </w:t>
      </w:r>
      <w:r w:rsidR="00A4653A">
        <w:t>like in the</w:t>
      </w:r>
      <w:r>
        <w:t xml:space="preserve"> problem this tool addresses. That gave me a strong baseline for judging whether outputs were physically reasonable before I ran any formal checks.</w:t>
      </w:r>
    </w:p>
    <w:p w14:paraId="4E488F27" w14:textId="77777777" w:rsidR="00823E1B" w:rsidRDefault="00000000">
      <w:pPr>
        <w:spacing w:after="160"/>
      </w:pPr>
      <w:r>
        <w:t>I verified the tool along three dimensions:</w:t>
      </w:r>
    </w:p>
    <w:p w14:paraId="50A89F76" w14:textId="66DCB1FD" w:rsidR="00823E1B" w:rsidRDefault="00000000">
      <w:pPr>
        <w:spacing w:after="160"/>
      </w:pPr>
      <w:r>
        <w:rPr>
          <w:b/>
          <w:bCs/>
        </w:rPr>
        <w:t xml:space="preserve">Equation accuracy. </w:t>
      </w:r>
      <w:r>
        <w:t xml:space="preserve">I confirmed that </w:t>
      </w:r>
      <w:r w:rsidR="00A4653A">
        <w:t>the</w:t>
      </w:r>
      <w:r>
        <w:t xml:space="preserve"> core equations</w:t>
      </w:r>
      <w:r w:rsidR="00A4653A">
        <w:t>, regarding</w:t>
      </w:r>
      <w:r>
        <w:t xml:space="preserve"> the SCS Curve Number method for runoff and Darcy’s Law for percolation</w:t>
      </w:r>
      <w:r w:rsidR="00A4653A">
        <w:t>,</w:t>
      </w:r>
      <w:r>
        <w:t xml:space="preserve"> are correctly implemented by cross-referencing my course notes from Groundwater Engineering and Advanced Topics in Geotechnics. The SCS-CN formula matched my notes</w:t>
      </w:r>
      <w:r w:rsidR="00A4653A">
        <w:t>, and was re-confirmed by checking textbooks</w:t>
      </w:r>
      <w:r>
        <w:t xml:space="preserve">. The </w:t>
      </w:r>
      <w:r w:rsidR="00A4653A">
        <w:t>specific discharge equation is also relatively common knowledge in the field.</w:t>
      </w:r>
    </w:p>
    <w:p w14:paraId="6FFA58F7" w14:textId="0CC12559" w:rsidR="00823E1B" w:rsidRDefault="00000000">
      <w:pPr>
        <w:spacing w:after="160"/>
      </w:pPr>
      <w:r>
        <w:rPr>
          <w:b/>
          <w:bCs/>
        </w:rPr>
        <w:t xml:space="preserve">Plausibility against known site conditions. </w:t>
      </w:r>
      <w:r>
        <w:t>Using inputs representative of a semi-arid mine site, the tool returned a percolation estimate well below 30 mm/yr</w:t>
      </w:r>
      <w:r w:rsidR="00A4653A">
        <w:t>, which is</w:t>
      </w:r>
      <w:r>
        <w:t xml:space="preserve"> consistent with what a quality compacted clay barrier should achieve under those conditions. This matched my intuition from senior design work, where compacted clay liners at low </w:t>
      </w:r>
      <w:r w:rsidRPr="00A4653A">
        <w:rPr>
          <w:i/>
          <w:iCs/>
        </w:rPr>
        <w:t>K</w:t>
      </w:r>
      <w:r>
        <w:t xml:space="preserve"> values are expected to be highly restrictive.</w:t>
      </w:r>
    </w:p>
    <w:p w14:paraId="7233F988" w14:textId="0A32CEC0" w:rsidR="00823E1B" w:rsidRDefault="00000000">
      <w:pPr>
        <w:spacing w:after="160"/>
      </w:pPr>
      <w:r>
        <w:rPr>
          <w:b/>
          <w:bCs/>
        </w:rPr>
        <w:t xml:space="preserve">Regulatory alignment. </w:t>
      </w:r>
      <w:r>
        <w:t xml:space="preserve">The default threshold of 60 mm/yr aligns with EPA guidance documents on mine cover design and is consistent with values referenced in class. The tool also offers the 30 mm/yr option, which I </w:t>
      </w:r>
      <w:r w:rsidR="00A4653A">
        <w:t>recognize</w:t>
      </w:r>
      <w:r>
        <w:t xml:space="preserve"> from literature on covers for acid-generating tailings in wetter climates. The threshold options are grounded in real practice, not arbitrary numbers.</w:t>
      </w:r>
    </w:p>
    <w:p w14:paraId="4EF8D5B5" w14:textId="12938BC9" w:rsidR="00823E1B" w:rsidRDefault="00000000">
      <w:pPr>
        <w:spacing w:after="160"/>
      </w:pPr>
      <w:r>
        <w:t xml:space="preserve">One condition I would not fully trust the tool under is a site with significant preferential flow </w:t>
      </w:r>
      <w:r w:rsidR="00A4653A">
        <w:t>such as</w:t>
      </w:r>
      <w:r>
        <w:t xml:space="preserve"> macropores, freeze-thaw cracking, or differential settlement in the cover. In those cases, actual percolation can far exceed what Darcy’s Law predicts from bulk </w:t>
      </w:r>
      <w:r w:rsidRPr="00A4653A">
        <w:rPr>
          <w:i/>
          <w:iCs/>
        </w:rPr>
        <w:t>K</w:t>
      </w:r>
      <w:r>
        <w:t>, and the tool would give false confidence. For any real design, I would supplement this with a transient model such as HYDRUS or the EPA HELP model.</w:t>
      </w:r>
    </w:p>
    <w:p w14:paraId="3B2B71F9" w14:textId="77777777" w:rsidR="00823E1B" w:rsidRDefault="00000000">
      <w:pPr>
        <w:pStyle w:val="Heading1"/>
      </w:pPr>
      <w:r>
        <w:t>B. Sensitivity: What Assumptions Matter Most?</w:t>
      </w:r>
    </w:p>
    <w:p w14:paraId="0CC0228B" w14:textId="65E62134" w:rsidR="00823E1B" w:rsidRDefault="00000000">
      <w:pPr>
        <w:spacing w:after="160"/>
      </w:pPr>
      <w:r>
        <w:t>The input the tool is most sensitive to is the saturated hydraulic conductivity of the cover soil</w:t>
      </w:r>
      <w:r w:rsidR="00A4653A">
        <w:t xml:space="preserve">, </w:t>
      </w:r>
      <w:r w:rsidR="00A4653A">
        <w:rPr>
          <w:i/>
          <w:iCs/>
        </w:rPr>
        <w:t>K</w:t>
      </w:r>
      <w:r>
        <w:t xml:space="preserve">. This makes physical sense: </w:t>
      </w:r>
      <w:r w:rsidRPr="00A4653A">
        <w:rPr>
          <w:i/>
          <w:iCs/>
        </w:rPr>
        <w:t>K</w:t>
      </w:r>
      <w:r>
        <w:t xml:space="preserve"> directly sets the ceiling on how fast water can move through the cover, and it spans many orders of magnitude across soil types.</w:t>
      </w:r>
    </w:p>
    <w:p w14:paraId="41F9F41B" w14:textId="77777777" w:rsidR="00823E1B" w:rsidRDefault="00000000">
      <w:pPr>
        <w:spacing w:after="160"/>
      </w:pPr>
      <w:r>
        <w:t>To demonstrate this, I ran two scenarios holding all other inputs constant (P = 450 mm/yr, CN = 70, ET = 320 mm/yr, i = 1.0, cover thickness = 1.0 m, threshold = 60 mm/yr):</w:t>
      </w:r>
    </w:p>
    <w:p w14:paraId="2D167FD5" w14:textId="77777777" w:rsidR="00823E1B" w:rsidRDefault="00000000">
      <w:pPr>
        <w:pStyle w:val="ListParagraph"/>
        <w:numPr>
          <w:ilvl w:val="0"/>
          <w:numId w:val="2"/>
        </w:numPr>
        <w:spacing w:after="80"/>
      </w:pPr>
      <w:r>
        <w:t>K = 3.15 mm/yr (compacted clay, ~1×10⁻⁷ m/s): Estimated percolation = 3.1 mm/yr — well within the 60 mm/yr threshold. Verdict: Pass.</w:t>
      </w:r>
    </w:p>
    <w:p w14:paraId="5332E7EB" w14:textId="77777777" w:rsidR="00823E1B" w:rsidRDefault="00000000">
      <w:pPr>
        <w:pStyle w:val="ListParagraph"/>
        <w:numPr>
          <w:ilvl w:val="0"/>
          <w:numId w:val="2"/>
        </w:numPr>
        <w:spacing w:after="80"/>
      </w:pPr>
      <w:r>
        <w:t>K = 315 mm/yr (silty loam, ~1×10⁻⁵ m/s): Estimated percolation = 60.0 mm/yr — exactly at threshold. Verdict: Marginal.</w:t>
      </w:r>
    </w:p>
    <w:p w14:paraId="5EEC9147" w14:textId="547DF2BF" w:rsidR="00823E1B" w:rsidRDefault="00000000">
      <w:pPr>
        <w:spacing w:after="160"/>
      </w:pPr>
      <w:r>
        <w:t xml:space="preserve">The jump from compacted clay to silty loam moves the result from a clear pass to the regulatory limit. This sensitivity matters enormously for design: a cover that achieves </w:t>
      </w:r>
      <w:r w:rsidRPr="00A4653A">
        <w:rPr>
          <w:i/>
          <w:iCs/>
        </w:rPr>
        <w:t>K</w:t>
      </w:r>
      <w:r>
        <w:t xml:space="preserve"> = 3 mm/yr through proper compaction performs radically differently from one where construction quality control slips </w:t>
      </w:r>
      <w:r>
        <w:lastRenderedPageBreak/>
        <w:t xml:space="preserve">and effective </w:t>
      </w:r>
      <w:r w:rsidRPr="00A4653A">
        <w:rPr>
          <w:i/>
          <w:iCs/>
        </w:rPr>
        <w:t>K</w:t>
      </w:r>
      <w:r>
        <w:t xml:space="preserve"> rises to 300 mm/yr. It also highlights that cover construction QA/QC is not just a formality</w:t>
      </w:r>
      <w:r w:rsidR="00A4653A">
        <w:t xml:space="preserve">, but </w:t>
      </w:r>
      <w:r>
        <w:t>the dominant variable in whether the design actually works.</w:t>
      </w:r>
    </w:p>
    <w:p w14:paraId="348E43E2" w14:textId="63C94C8E" w:rsidR="00823E1B" w:rsidRDefault="00000000">
      <w:pPr>
        <w:spacing w:after="160"/>
      </w:pPr>
      <w:r>
        <w:t xml:space="preserve">By contrast, I found that varying cover thickness </w:t>
      </w:r>
      <w:r w:rsidR="00A4653A">
        <w:t xml:space="preserve">within reasonable margins </w:t>
      </w:r>
      <w:r>
        <w:t>had no effect on the output when the hydraulic gradient was held at 1.</w:t>
      </w:r>
      <w:r w:rsidR="00A4653A">
        <w:t>0,</w:t>
      </w:r>
      <w:r>
        <w:t xml:space="preserve"> because the </w:t>
      </w:r>
      <w:r w:rsidR="00A4653A">
        <w:t>specific discharge</w:t>
      </w:r>
      <w:r>
        <w:t xml:space="preserve"> q = </w:t>
      </w:r>
      <w:r w:rsidRPr="00A4653A">
        <w:rPr>
          <w:i/>
          <w:iCs/>
        </w:rPr>
        <w:t>K</w:t>
      </w:r>
      <w:r>
        <w:t>·i does not include thickness as a term. Thickness would matter in a transient model that tracks storage, but not in this steady-state formulation.</w:t>
      </w:r>
    </w:p>
    <w:p w14:paraId="50CF0EF1" w14:textId="77777777" w:rsidR="00823E1B" w:rsidRDefault="00000000">
      <w:pPr>
        <w:pStyle w:val="Heading1"/>
      </w:pPr>
      <w:r>
        <w:t>C. Misleading Outputs: Where Could the Tool Give False Confidence?</w:t>
      </w:r>
    </w:p>
    <w:p w14:paraId="327D0539" w14:textId="35D8FEFF" w:rsidR="00823E1B" w:rsidRDefault="00000000">
      <w:pPr>
        <w:spacing w:after="160"/>
      </w:pPr>
      <w:r>
        <w:t xml:space="preserve">The most instructive misleading result I found occurs when precipitation is set to an unrealistically high value. I tested P = 3,000 mm/yr with a moderate CN = 70, ET = 320 mm/yr, </w:t>
      </w:r>
      <w:r w:rsidRPr="00A4653A">
        <w:rPr>
          <w:i/>
          <w:iCs/>
        </w:rPr>
        <w:t>K</w:t>
      </w:r>
      <w:r>
        <w:t xml:space="preserve"> = 3.15 mm/yr, and i = 1.0.</w:t>
      </w:r>
    </w:p>
    <w:p w14:paraId="013E351A" w14:textId="7189212E" w:rsidR="00823E1B" w:rsidRDefault="00000000">
      <w:pPr>
        <w:spacing w:after="160"/>
      </w:pPr>
      <w:r>
        <w:t>The tool returned a Pass verdict</w:t>
      </w:r>
      <w:r w:rsidR="00A4653A">
        <w:t xml:space="preserve"> with an</w:t>
      </w:r>
      <w:r>
        <w:t xml:space="preserve"> estimated percolation </w:t>
      </w:r>
      <w:r w:rsidR="00A4653A">
        <w:t>of</w:t>
      </w:r>
      <w:r>
        <w:t xml:space="preserve"> approximately 3.1 mm/y</w:t>
      </w:r>
      <w:r w:rsidR="00A4653A">
        <w:t>r</w:t>
      </w:r>
      <w:r>
        <w:t>.</w:t>
      </w:r>
    </w:p>
    <w:p w14:paraId="4A87CE4F" w14:textId="143AE71F" w:rsidR="00823E1B" w:rsidRDefault="00000000">
      <w:pPr>
        <w:spacing w:after="160"/>
      </w:pPr>
      <w:r>
        <w:t xml:space="preserve">At first glance, this looks like good news. But unpacking the water balance reveals why it is misleading: at P = 3,000 mm/yr and CN = 70, the SCS-CN method calculates an enormous runoff value of 2,400 mm/yr. That means roughly 80% of all precipitation is leaving the site as surface runoff. The cover </w:t>
      </w:r>
      <w:r w:rsidRPr="00A4653A">
        <w:rPr>
          <w:i/>
          <w:iCs/>
        </w:rPr>
        <w:t>K</w:t>
      </w:r>
      <w:r>
        <w:t xml:space="preserve"> is so low that the small fraction that does infiltrate is easily restricted. The tool is technically correct </w:t>
      </w:r>
      <w:r w:rsidR="00A4653A">
        <w:t>that</w:t>
      </w:r>
      <w:r>
        <w:t xml:space="preserve"> percolation is low, but it is correct for the wrong reason.</w:t>
      </w:r>
    </w:p>
    <w:p w14:paraId="57027874" w14:textId="40CE32DE" w:rsidR="00823E1B" w:rsidRDefault="00000000">
      <w:pPr>
        <w:spacing w:after="160"/>
      </w:pPr>
      <w:r>
        <w:t xml:space="preserve">A user unfamiliar with the water balance breakdown might look at the green Pass banner and conclude the cover design is sound. </w:t>
      </w:r>
      <w:r w:rsidR="00A4653A">
        <w:t>A</w:t>
      </w:r>
      <w:r>
        <w:t xml:space="preserve"> site generating 2,400 mm/yr of runoff has serious erosion, slope stability, and downstream water quality problems that have nothing to do with percolation. The cover might </w:t>
      </w:r>
      <w:r w:rsidR="00A4653A">
        <w:t>prevent</w:t>
      </w:r>
      <w:r>
        <w:t xml:space="preserve"> </w:t>
      </w:r>
      <w:r w:rsidR="00A4653A">
        <w:t>acid rock drainage</w:t>
      </w:r>
      <w:r>
        <w:t xml:space="preserve"> from entering groundwater while simultaneously causing major surface water impacts.</w:t>
      </w:r>
    </w:p>
    <w:p w14:paraId="14D3D196" w14:textId="73A707E1" w:rsidR="00823E1B" w:rsidRDefault="00000000">
      <w:pPr>
        <w:spacing w:after="160"/>
      </w:pPr>
      <w:r>
        <w:t>What a user would need to know to avoid acting on this incorrectly: the bar chart on the tool does show the outsized runoff fraction, and the tool’s caveats section notes that it does not account for surface erosion or lateral drainage. But these are easy to miss if a user focuses only on the verdict. A more robust version of the tool would flag when runoff exceeds a physically reasonable fraction of precipitation to alert the user that the Pass result may be an artifact of extreme surface shedding rather than genuine cover performance.</w:t>
      </w:r>
    </w:p>
    <w:p w14:paraId="1D1C19FF" w14:textId="77777777" w:rsidR="00823E1B" w:rsidRDefault="00000000">
      <w:pPr>
        <w:pStyle w:val="Heading1"/>
      </w:pPr>
      <w:r>
        <w:t>D. Human–AI Collaboration: How Did I Work with AI as a Partner?</w:t>
      </w:r>
    </w:p>
    <w:p w14:paraId="5A1E0F72" w14:textId="2DD9B0C3" w:rsidR="00823E1B" w:rsidRDefault="00000000">
      <w:pPr>
        <w:spacing w:after="160"/>
      </w:pPr>
      <w:r>
        <w:t>My collaboration with Claude on this tool was iterative, and it worked best when I brought domain knowledge and Claude brought implementation capacity. The division of labor that emerged felt natural: I knew what the tool needed to do</w:t>
      </w:r>
      <w:r w:rsidR="00A4653A">
        <w:t xml:space="preserve"> and </w:t>
      </w:r>
      <w:r>
        <w:t>Claude knew how to build it.</w:t>
      </w:r>
    </w:p>
    <w:p w14:paraId="4E437103" w14:textId="66168AF6" w:rsidR="00823E1B" w:rsidRDefault="00000000">
      <w:pPr>
        <w:spacing w:after="160"/>
      </w:pPr>
      <w:r>
        <w:rPr>
          <w:b/>
          <w:bCs/>
        </w:rPr>
        <w:t xml:space="preserve">Where AI helped most: selecting and structuring the equations. </w:t>
      </w:r>
      <w:r>
        <w:t xml:space="preserve">When I described wanting a water balance tool for a mine tailings cover focused on percolation, Claude immediately proposed combining the SCS-CN method for runoff with Darcy’s Law for cover </w:t>
      </w:r>
      <w:r w:rsidR="00A4653A">
        <w:t>flux and</w:t>
      </w:r>
      <w:r>
        <w:t xml:space="preserve"> introduced the “limiting term”</w:t>
      </w:r>
      <w:r w:rsidR="00A4653A">
        <w:t xml:space="preserve"> logic</w:t>
      </w:r>
      <w:r>
        <w:t>. That framing was exactly right, and it was faster than me working through which equations to combine from scratch. I recognized the equations as correct from my coursework, but I had not explicitly thought about the two-term limiting structure before Claude proposed it. That was a genuine contribution.</w:t>
      </w:r>
    </w:p>
    <w:p w14:paraId="0C536FD0" w14:textId="7E6143B1" w:rsidR="00823E1B" w:rsidRDefault="00000000">
      <w:pPr>
        <w:spacing w:after="160"/>
      </w:pPr>
      <w:r>
        <w:rPr>
          <w:b/>
          <w:bCs/>
        </w:rPr>
        <w:t xml:space="preserve">Where I directed the tool’s design. </w:t>
      </w:r>
      <w:r>
        <w:t>I had a clear vision for what I wanted before we started: a browser-based HTML file, single-layer cover, water balance model, and a pass/fail verdict. Claude asked clarifying questions and I made deliberate choices</w:t>
      </w:r>
      <w:r w:rsidR="00F3041C">
        <w:t xml:space="preserve">, such as </w:t>
      </w:r>
      <w:r>
        <w:t>opting for both SCS-CN and Darcy’s Law combined rather than just one method, and specifying a single cover layer rather than a multi-layer system. Those decisions shaped the entire structure of the tool, and they came from my engineering judgment about what was tractable and meaningful for this assignment.</w:t>
      </w:r>
    </w:p>
    <w:p w14:paraId="77F52B5E" w14:textId="2B2FB308" w:rsidR="00823E1B" w:rsidRDefault="00000000">
      <w:pPr>
        <w:spacing w:after="160"/>
      </w:pPr>
      <w:r>
        <w:rPr>
          <w:b/>
          <w:bCs/>
        </w:rPr>
        <w:lastRenderedPageBreak/>
        <w:t xml:space="preserve">Where I intervened and verified. </w:t>
      </w:r>
      <w:r>
        <w:t xml:space="preserve">Because this topic overlaps directly with my senior design project, I was able to check the equations against my course notes from Groundwater Engineering and Advanced Topics in Geotechnics. I confirmed that the SCS-CN formula and the </w:t>
      </w:r>
      <w:r w:rsidR="00F3041C">
        <w:t>specific discharge formula</w:t>
      </w:r>
      <w:r>
        <w:t xml:space="preserve"> were correctly implemented. I also evaluated the default input values</w:t>
      </w:r>
      <w:r w:rsidR="00F3041C">
        <w:t xml:space="preserve"> for relative accuracy</w:t>
      </w:r>
      <w:r>
        <w:t>, verifying that K = 3.15 mm/yr is a realistic value for a compacted clay cover, and that the 60 mm/yr threshold is grounded in EPA guidance. Without that background, I would have had to trust Claude’s defaults uncritically, which the assignment rightly warns against.</w:t>
      </w:r>
    </w:p>
    <w:p w14:paraId="138DA6D1" w14:textId="3186B97B" w:rsidR="00823E1B" w:rsidRDefault="00000000">
      <w:pPr>
        <w:spacing w:after="160"/>
      </w:pPr>
      <w:r>
        <w:rPr>
          <w:b/>
          <w:bCs/>
        </w:rPr>
        <w:t xml:space="preserve">What I learned about working with AI. </w:t>
      </w:r>
      <w:r>
        <w:t xml:space="preserve">The most important thing I learned is that AI collaboration rewards preparedness. Because I came in with a clear problem, domain knowledge, and specific design decisions already made, the process was fast and the output was high quality. I suspect the result would have been much weaker if I had started with a vague prompt and let Claude make all the choices. The AI is good at proposing structure and writing code; it is less reliable as a sole judge of whether the engineering is appropriate for a specific site or regulatory context. That judgment </w:t>
      </w:r>
      <w:r w:rsidR="00F3041C">
        <w:t>must</w:t>
      </w:r>
      <w:r>
        <w:t xml:space="preserve"> come from the engineer. This assignment reinforced something I already suspected from senior design: tools are only as trustworthy as the person interpreting them.</w:t>
      </w:r>
    </w:p>
    <w:p w14:paraId="3C456888" w14:textId="68304C47" w:rsidR="00823E1B" w:rsidRDefault="00000000">
      <w:pPr>
        <w:spacing w:after="160"/>
      </w:pPr>
      <w:r>
        <w:rPr>
          <w:b/>
          <w:bCs/>
        </w:rPr>
        <w:t xml:space="preserve">What I would do differently. </w:t>
      </w:r>
      <w:r>
        <w:t>I would engage Claude earlier in the process of identifying misleading edge cases. I found the high-precipitation scenario on my own during testing, but I could have asked Claude to systematically brainstorm failure modes at the start — “what inputs could produce a technically correct but practically misleading result?” That kind of adversarial prompting is something I will bring into future AI-assisted work, especially for verification tasks</w:t>
      </w:r>
      <w:r w:rsidR="00F3041C">
        <w:t xml:space="preserve"> such as Tool 3.</w:t>
      </w:r>
    </w:p>
    <w:sectPr w:rsidR="00823E1B">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61AE5"/>
    <w:multiLevelType w:val="hybridMultilevel"/>
    <w:tmpl w:val="1BFE3DA6"/>
    <w:lvl w:ilvl="0" w:tplc="5BA2EE7C">
      <w:start w:val="1"/>
      <w:numFmt w:val="bullet"/>
      <w:lvlText w:val="●"/>
      <w:lvlJc w:val="left"/>
      <w:pPr>
        <w:ind w:left="720" w:hanging="360"/>
      </w:pPr>
    </w:lvl>
    <w:lvl w:ilvl="1" w:tplc="B908D5AA">
      <w:start w:val="1"/>
      <w:numFmt w:val="bullet"/>
      <w:lvlText w:val="○"/>
      <w:lvlJc w:val="left"/>
      <w:pPr>
        <w:ind w:left="1440" w:hanging="360"/>
      </w:pPr>
    </w:lvl>
    <w:lvl w:ilvl="2" w:tplc="7C485592">
      <w:start w:val="1"/>
      <w:numFmt w:val="bullet"/>
      <w:lvlText w:val="■"/>
      <w:lvlJc w:val="left"/>
      <w:pPr>
        <w:ind w:left="2160" w:hanging="360"/>
      </w:pPr>
    </w:lvl>
    <w:lvl w:ilvl="3" w:tplc="3D6A8016">
      <w:start w:val="1"/>
      <w:numFmt w:val="bullet"/>
      <w:lvlText w:val="●"/>
      <w:lvlJc w:val="left"/>
      <w:pPr>
        <w:ind w:left="2880" w:hanging="360"/>
      </w:pPr>
    </w:lvl>
    <w:lvl w:ilvl="4" w:tplc="499659A6">
      <w:start w:val="1"/>
      <w:numFmt w:val="bullet"/>
      <w:lvlText w:val="○"/>
      <w:lvlJc w:val="left"/>
      <w:pPr>
        <w:ind w:left="3600" w:hanging="360"/>
      </w:pPr>
    </w:lvl>
    <w:lvl w:ilvl="5" w:tplc="BF4C5D28">
      <w:start w:val="1"/>
      <w:numFmt w:val="bullet"/>
      <w:lvlText w:val="■"/>
      <w:lvlJc w:val="left"/>
      <w:pPr>
        <w:ind w:left="4320" w:hanging="360"/>
      </w:pPr>
    </w:lvl>
    <w:lvl w:ilvl="6" w:tplc="63B458B4">
      <w:start w:val="1"/>
      <w:numFmt w:val="bullet"/>
      <w:lvlText w:val="●"/>
      <w:lvlJc w:val="left"/>
      <w:pPr>
        <w:ind w:left="5040" w:hanging="360"/>
      </w:pPr>
    </w:lvl>
    <w:lvl w:ilvl="7" w:tplc="5F745EE8">
      <w:start w:val="1"/>
      <w:numFmt w:val="bullet"/>
      <w:lvlText w:val="●"/>
      <w:lvlJc w:val="left"/>
      <w:pPr>
        <w:ind w:left="5760" w:hanging="360"/>
      </w:pPr>
    </w:lvl>
    <w:lvl w:ilvl="8" w:tplc="664A7D1C">
      <w:start w:val="1"/>
      <w:numFmt w:val="bullet"/>
      <w:lvlText w:val="●"/>
      <w:lvlJc w:val="left"/>
      <w:pPr>
        <w:ind w:left="6480" w:hanging="360"/>
      </w:pPr>
    </w:lvl>
  </w:abstractNum>
  <w:abstractNum w:abstractNumId="1" w15:restartNumberingAfterBreak="0">
    <w:nsid w:val="7B843EE4"/>
    <w:multiLevelType w:val="hybridMultilevel"/>
    <w:tmpl w:val="FDD0D334"/>
    <w:lvl w:ilvl="0" w:tplc="EA4E5D8A">
      <w:start w:val="1"/>
      <w:numFmt w:val="bullet"/>
      <w:lvlText w:val="•"/>
      <w:lvlJc w:val="left"/>
      <w:pPr>
        <w:ind w:left="720" w:hanging="360"/>
      </w:pPr>
    </w:lvl>
    <w:lvl w:ilvl="1" w:tplc="0B9E1602">
      <w:numFmt w:val="decimal"/>
      <w:lvlText w:val=""/>
      <w:lvlJc w:val="left"/>
    </w:lvl>
    <w:lvl w:ilvl="2" w:tplc="B6E2A7EE">
      <w:numFmt w:val="decimal"/>
      <w:lvlText w:val=""/>
      <w:lvlJc w:val="left"/>
    </w:lvl>
    <w:lvl w:ilvl="3" w:tplc="02B2B296">
      <w:numFmt w:val="decimal"/>
      <w:lvlText w:val=""/>
      <w:lvlJc w:val="left"/>
    </w:lvl>
    <w:lvl w:ilvl="4" w:tplc="A11EA0F6">
      <w:numFmt w:val="decimal"/>
      <w:lvlText w:val=""/>
      <w:lvlJc w:val="left"/>
    </w:lvl>
    <w:lvl w:ilvl="5" w:tplc="74D0B244">
      <w:numFmt w:val="decimal"/>
      <w:lvlText w:val=""/>
      <w:lvlJc w:val="left"/>
    </w:lvl>
    <w:lvl w:ilvl="6" w:tplc="4B14C856">
      <w:numFmt w:val="decimal"/>
      <w:lvlText w:val=""/>
      <w:lvlJc w:val="left"/>
    </w:lvl>
    <w:lvl w:ilvl="7" w:tplc="3FE82B7C">
      <w:numFmt w:val="decimal"/>
      <w:lvlText w:val=""/>
      <w:lvlJc w:val="left"/>
    </w:lvl>
    <w:lvl w:ilvl="8" w:tplc="98B2576A">
      <w:numFmt w:val="decimal"/>
      <w:lvlText w:val=""/>
      <w:lvlJc w:val="left"/>
    </w:lvl>
  </w:abstractNum>
  <w:num w:numId="1" w16cid:durableId="13775498">
    <w:abstractNumId w:val="0"/>
    <w:lvlOverride w:ilvl="0">
      <w:startOverride w:val="1"/>
    </w:lvlOverride>
  </w:num>
  <w:num w:numId="2" w16cid:durableId="9167478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E1B"/>
    <w:rsid w:val="00823E1B"/>
    <w:rsid w:val="00A42712"/>
    <w:rsid w:val="00A4653A"/>
    <w:rsid w:val="00F30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14D8"/>
  <w15:docId w15:val="{C978376D-09C6-4F7B-AB7B-9213D71C9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5F2B"/>
      <w:sz w:val="28"/>
      <w:szCs w:val="28"/>
    </w:rPr>
  </w:style>
  <w:style w:type="paragraph" w:styleId="Heading2">
    <w:name w:val="heading 2"/>
    <w:uiPriority w:val="9"/>
    <w:semiHidden/>
    <w:unhideWhenUsed/>
    <w:qFormat/>
    <w:pPr>
      <w:spacing w:before="240" w:after="120"/>
      <w:outlineLvl w:val="1"/>
    </w:pPr>
    <w:rPr>
      <w:b/>
      <w:bCs/>
      <w:color w:val="3A7A3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1345</Words>
  <Characters>7672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Vecchiet,Luke</cp:lastModifiedBy>
  <cp:revision>2</cp:revision>
  <dcterms:created xsi:type="dcterms:W3CDTF">2026-04-23T01:46:00Z</dcterms:created>
  <dcterms:modified xsi:type="dcterms:W3CDTF">2026-04-23T02:02:00Z</dcterms:modified>
</cp:coreProperties>
</file>