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星宠漫游馆（山海灵境世界观）PRD v3.0</w:t>
      </w:r>
    </w:p>
    <w:p>
      <w:r>
        <w:t>说明：本文件为40~60页PRD的第一版骨架，基于用户提供方案整理，可继续扩展。</w:t>
      </w:r>
    </w:p>
    <w:p>
      <w:pPr>
        <w:pStyle w:val="Heading2"/>
      </w:pPr>
      <w:r>
        <w:t>1. 产品概述</w:t>
      </w:r>
    </w:p>
    <w:p>
      <w:r>
        <w:t>定位：AI数字生命游戏；愿景：持续运行世界。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pPr>
        <w:pStyle w:val="Heading2"/>
      </w:pPr>
      <w:r>
        <w:t>2. 产品定位</w:t>
      </w:r>
    </w:p>
    <w:p>
      <w:r>
        <w:t>天道+守护者，在线操控/离线AI接管。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pPr>
        <w:pStyle w:val="Heading2"/>
      </w:pPr>
      <w:r>
        <w:t>3. 用户价值</w:t>
      </w:r>
    </w:p>
    <w:p>
      <w:r>
        <w:t>九层价值体系。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pPr>
        <w:pStyle w:val="Heading2"/>
      </w:pPr>
      <w:r>
        <w:t>4. 世界观</w:t>
      </w:r>
    </w:p>
    <w:p>
      <w:r>
        <w:t>六域、灵兽、命运、死亡、回溯。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pPr>
        <w:pStyle w:val="Heading2"/>
      </w:pPr>
      <w:r>
        <w:t>5. 核心玩法</w:t>
      </w:r>
    </w:p>
    <w:p>
      <w:r>
        <w:t>探索、采集、社交、修炼、漫游志。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pPr>
        <w:pStyle w:val="Heading2"/>
      </w:pPr>
      <w:r>
        <w:t>6. 世界规则</w:t>
      </w:r>
    </w:p>
    <w:p>
      <w:r>
        <w:t>时间、生态、风险、命运。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pPr>
        <w:pStyle w:val="Heading2"/>
      </w:pPr>
      <w:r>
        <w:t>7. AI Agent</w:t>
      </w:r>
    </w:p>
    <w:p>
      <w:r>
        <w:t>Planner/Explorer/Social/Narrative/Memory等职责。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pPr>
        <w:pStyle w:val="Heading2"/>
      </w:pPr>
      <w:r>
        <w:t>8. 技术架构</w:t>
      </w:r>
    </w:p>
    <w:p>
      <w:r>
        <w:t>WorldEngine、Controller、LangGraph、DB。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pPr>
        <w:pStyle w:val="Heading2"/>
      </w:pPr>
      <w:r>
        <w:t>9. 数据模型</w:t>
      </w:r>
    </w:p>
    <w:p>
      <w:r>
        <w:t>Character、Relationship等。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pPr>
        <w:pStyle w:val="Heading2"/>
      </w:pPr>
      <w:r>
        <w:t>10. API</w:t>
      </w:r>
    </w:p>
    <w:p>
      <w:r>
        <w:t>世界、角色、回档接口。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pPr>
        <w:pStyle w:val="Heading2"/>
      </w:pPr>
      <w:r>
        <w:t>11. MVP</w:t>
      </w:r>
    </w:p>
    <w:p>
      <w:r>
        <w:t>Phase0-5规划。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pPr>
        <w:pStyle w:val="Heading2"/>
      </w:pPr>
      <w:r>
        <w:t>12. 风险</w:t>
      </w:r>
    </w:p>
    <w:p>
      <w:r>
        <w:t>成本、性能、LLM。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rPr>
          <w:b/>
        </w:rPr>
        <w:t>详细设计：</w:t>
      </w:r>
      <w:r>
        <w:t>此章节将在正式版扩展为3-5页，包括流程图、状态机、时序图、页面说明、业务规则。</w:t>
      </w:r>
    </w:p>
    <w:p>
      <w:r>
        <w:br w:type="page"/>
      </w:r>
    </w:p>
    <w:p>
      <w:pPr>
        <w:pStyle w:val="Heading2"/>
      </w:pPr>
      <w:r>
        <w:t>附录扩展页 1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2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3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4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5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6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7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8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9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10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11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12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13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14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15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16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17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18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19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20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21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22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23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24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25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26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27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28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29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30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31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32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33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34</w:t>
      </w:r>
    </w:p>
    <w:p>
      <w:r>
        <w:t>预留用于详细PRD内容、架构图、流程图、UI线框图。</w:t>
      </w:r>
    </w:p>
    <w:p>
      <w:r>
        <w:br w:type="page"/>
      </w:r>
    </w:p>
    <w:p>
      <w:pPr>
        <w:pStyle w:val="Heading2"/>
      </w:pPr>
      <w:r>
        <w:t>附录扩展页 35</w:t>
      </w:r>
    </w:p>
    <w:p>
      <w:r>
        <w:t>预留用于详细PRD内容、架构图、流程图、UI线框图。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