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281E" w14:textId="1722F350" w:rsidR="00511962" w:rsidRPr="0070182B" w:rsidRDefault="00511962" w:rsidP="0070182B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70182B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 xml:space="preserve">Call 14: This chart type </w:t>
      </w:r>
      <w:bookmarkStart w:id="0" w:name="OLE_LINK1"/>
      <w:r w:rsidRPr="0070182B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shows individual parts that make up a whole</w:t>
      </w:r>
    </w:p>
    <w:bookmarkEnd w:id="0"/>
    <w:p w14:paraId="32DCFCC9" w14:textId="3E153F23" w:rsidR="00D635EE" w:rsidRPr="0070182B" w:rsidRDefault="00E37593" w:rsidP="0070182B">
      <w:pPr>
        <w:pStyle w:val="a7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ie chart</w:t>
      </w:r>
    </w:p>
    <w:p w14:paraId="76A2D2F3" w14:textId="62DA71C0" w:rsidR="00511962" w:rsidRPr="0070182B" w:rsidRDefault="00511962" w:rsidP="00D635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13: Describe the relationship between the Represent and the Acquire Stage</w:t>
      </w:r>
    </w:p>
    <w:p w14:paraId="714ABE92" w14:textId="5F70565B" w:rsidR="00D635EE" w:rsidRPr="0070182B" w:rsidRDefault="00933924" w:rsidP="0070182B">
      <w:pPr>
        <w:pStyle w:val="a7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cquire stage is the basis of all stages </w:t>
      </w:r>
      <w:r w:rsidR="00061D53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after that.</w:t>
      </w:r>
      <w:r w:rsidR="0060058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091ED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All information and values in r</w:t>
      </w:r>
      <w:r w:rsidR="0060058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epresent stage</w:t>
      </w:r>
      <w:r w:rsidR="00D46C9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091ED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are derived and filtered from what was acquired in the first stage. </w:t>
      </w:r>
      <w:r w:rsidR="00D46C9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So, what acquire stage has done </w:t>
      </w:r>
      <w:r w:rsidR="00B60EA6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greatly impacts</w:t>
      </w:r>
      <w:r w:rsidR="00CB354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how the visualization is represented</w:t>
      </w:r>
      <w:r w:rsidR="000C7BE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</w:p>
    <w:p w14:paraId="5F839C20" w14:textId="10A11977" w:rsidR="00511962" w:rsidRPr="00A72C12" w:rsidRDefault="00511962" w:rsidP="003C400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12: I can describe what happens in the Filter stage</w:t>
      </w:r>
    </w:p>
    <w:p w14:paraId="0F5AA2BB" w14:textId="480F422E" w:rsidR="003C4003" w:rsidRPr="005A440F" w:rsidRDefault="00E44BE3" w:rsidP="005A440F">
      <w:pPr>
        <w:pStyle w:val="a7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n the filter stage,</w:t>
      </w:r>
      <w:r w:rsidR="00C2475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portions of data set</w:t>
      </w:r>
      <w:r w:rsidR="00E1781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that</w:t>
      </w:r>
      <w:r w:rsidR="009F215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are</w:t>
      </w:r>
      <w:r w:rsidR="00E1781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n’t relevant are</w:t>
      </w:r>
      <w:r w:rsidR="009F215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removed, because visualizers want to </w:t>
      </w:r>
      <w:r w:rsidR="002F3425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give a </w:t>
      </w:r>
      <w:r w:rsidR="00063BF3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visualization</w:t>
      </w:r>
      <w:r w:rsidR="001A041C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only from a part of the data, for they want to answer certain question</w:t>
      </w:r>
      <w:r w:rsidR="00C41C2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s</w:t>
      </w:r>
      <w:r w:rsidR="001A041C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  <w:r w:rsidR="00ED36D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C63B6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A</w:t>
      </w:r>
      <w:r w:rsidR="00C63B67"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lso</w:t>
      </w:r>
      <w:r w:rsidR="0081373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, some parts of the data need</w:t>
      </w:r>
      <w:r w:rsidR="006F07C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transformation </w:t>
      </w:r>
      <w:r w:rsidR="009D395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in</w:t>
      </w:r>
      <w:r w:rsidR="006F07C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to</w:t>
      </w:r>
      <w:r w:rsidR="009D395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a range that</w:t>
      </w:r>
      <w:r w:rsidR="006F07C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fit</w:t>
      </w:r>
      <w:r w:rsidR="00F62C6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s</w:t>
      </w:r>
      <w:r w:rsidR="006F07C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what visualizers want</w:t>
      </w:r>
      <w:r w:rsidR="00FA10E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</w:p>
    <w:p w14:paraId="57096E89" w14:textId="63D9676E" w:rsidR="00511962" w:rsidRPr="00A72C12" w:rsidRDefault="00511962" w:rsidP="003C400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11: Define &amp; give an example of a primary data source</w:t>
      </w:r>
    </w:p>
    <w:p w14:paraId="2661CA78" w14:textId="426552F5" w:rsidR="003C4003" w:rsidRPr="005A440F" w:rsidRDefault="00BF3094" w:rsidP="005A440F">
      <w:pPr>
        <w:pStyle w:val="a7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urvey of </w:t>
      </w:r>
      <w:r w:rsidR="00F54E9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how satisfied </w:t>
      </w:r>
      <w:r w:rsidR="000450E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customers are </w:t>
      </w:r>
      <w:r w:rsidR="00211A6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toward a certain</w:t>
      </w:r>
      <w:r w:rsidR="002037A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A5775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merchandise.</w:t>
      </w:r>
    </w:p>
    <w:p w14:paraId="1FE261BA" w14:textId="3CA32449" w:rsidR="00511962" w:rsidRPr="00A72C12" w:rsidRDefault="00511962" w:rsidP="003C400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10: I can describe what happens in the Refine stage</w:t>
      </w:r>
    </w:p>
    <w:p w14:paraId="59B3DAB0" w14:textId="1A10D934" w:rsidR="003C4003" w:rsidRPr="005A440F" w:rsidRDefault="00B7763C" w:rsidP="005A440F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In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the refine stage,</w:t>
      </w:r>
      <w:r w:rsidR="00F6714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visualizers use critique</w:t>
      </w:r>
      <w:r w:rsidR="00F816D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s</w:t>
      </w:r>
      <w:r w:rsidR="00F6714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that</w:t>
      </w:r>
      <w:r w:rsidR="00F816D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have been provided in the </w:t>
      </w:r>
      <w:r w:rsidR="003C5BA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critique stage to further improve their visualizations</w:t>
      </w:r>
      <w:r w:rsidR="005224A5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by changing chart type,</w:t>
      </w:r>
      <w:r w:rsidR="00EC2266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8F111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change what is filtered, </w:t>
      </w:r>
      <w:r w:rsidR="00F95E0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adding missing elements, or </w:t>
      </w:r>
      <w:r w:rsidR="00114C13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deleting redundant and unnecessary elements</w:t>
      </w:r>
      <w:r w:rsidR="00D231B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</w:p>
    <w:p w14:paraId="4ACBDBE2" w14:textId="241CEF96" w:rsidR="00511962" w:rsidRPr="00A72C12" w:rsidRDefault="00511962" w:rsidP="003C400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9: Describe the relationship between the Represent and Filter Stage</w:t>
      </w:r>
    </w:p>
    <w:p w14:paraId="0520211E" w14:textId="0CACC10B" w:rsidR="003C4003" w:rsidRPr="005A440F" w:rsidRDefault="00001C67" w:rsidP="005A440F">
      <w:pPr>
        <w:pStyle w:val="a7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Filter and represent stages are tightly related</w:t>
      </w:r>
      <w:r w:rsidR="00973BC3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, since what visualizers filter in </w:t>
      </w:r>
      <w:r w:rsidR="00FE777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the </w:t>
      </w:r>
      <w:r w:rsidR="000A1D5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former</w:t>
      </w:r>
      <w:r w:rsidR="00FE777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stage impact how </w:t>
      </w:r>
      <w:r w:rsidR="00D51AB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they are going to represent them in the latter </w:t>
      </w:r>
      <w:r w:rsidR="00172D6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one</w:t>
      </w:r>
      <w:r w:rsidR="00D51AB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  <w:r w:rsidR="00172D6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923D9C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While the changes </w:t>
      </w:r>
      <w:r w:rsidR="00B2431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in filter stage can greatly change </w:t>
      </w:r>
      <w:r w:rsidR="00CE514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the approach of representing, how the method of representing change do not impact </w:t>
      </w:r>
      <w:r w:rsidR="00DC6B86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filtering that much.</w:t>
      </w:r>
    </w:p>
    <w:p w14:paraId="09BF599A" w14:textId="74884857" w:rsidR="00511962" w:rsidRPr="00A814C3" w:rsidRDefault="00511962" w:rsidP="003C400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8: This chart type allows you to compare values</w:t>
      </w:r>
    </w:p>
    <w:p w14:paraId="2B4C2B11" w14:textId="774B0F3D" w:rsidR="003C4003" w:rsidRPr="00642930" w:rsidRDefault="00642930" w:rsidP="00642930">
      <w:pPr>
        <w:pStyle w:val="a7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ar graph</w:t>
      </w:r>
      <w:r w:rsidR="0069250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, histogram,</w:t>
      </w:r>
      <w:r w:rsidR="00064D4F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or column chart</w:t>
      </w:r>
    </w:p>
    <w:p w14:paraId="0CDD1D06" w14:textId="0DE0F250" w:rsidR="00511962" w:rsidRPr="00A814C3" w:rsidRDefault="00511962" w:rsidP="00492EB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7: List the advantages of filtering data before mining</w:t>
      </w:r>
    </w:p>
    <w:p w14:paraId="09BCAB53" w14:textId="363EF598" w:rsidR="00492EB8" w:rsidRPr="00E237F0" w:rsidRDefault="00F67425" w:rsidP="00E237F0">
      <w:pPr>
        <w:pStyle w:val="a7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iltering data before mining can give the mining stage a better focus of what it’s going to accomplish</w:t>
      </w:r>
      <w:r w:rsidR="0035469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. </w:t>
      </w:r>
      <w:r w:rsidR="00007E4E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Mining the whole dataset can, sometimes, be </w:t>
      </w:r>
      <w:r w:rsidR="007C639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redundant and </w:t>
      </w:r>
      <w:r w:rsidR="0010386C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unnecessary</w:t>
      </w:r>
      <w:r w:rsidR="007C639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. </w:t>
      </w:r>
      <w:r w:rsidR="00B40D5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But when filtering stage gives</w:t>
      </w:r>
      <w:r w:rsidR="009A717E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visualizers a </w:t>
      </w:r>
      <w:r w:rsidR="00FE7EF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clear </w:t>
      </w:r>
      <w:r w:rsidR="00C4279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image of what they </w:t>
      </w:r>
      <w:r w:rsidR="00C4279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lastRenderedPageBreak/>
        <w:t>are going to do in the future,</w:t>
      </w:r>
      <w:r w:rsidR="002A670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they can do the mining calculations</w:t>
      </w:r>
      <w:r w:rsidR="00137C1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7437B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much </w:t>
      </w:r>
      <w:r w:rsidR="008F549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precisely</w:t>
      </w:r>
      <w:r w:rsidR="002A4F8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, and thus </w:t>
      </w:r>
      <w:r w:rsidR="008D78D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give a better result.</w:t>
      </w:r>
    </w:p>
    <w:p w14:paraId="19AF2BE0" w14:textId="1D06B383" w:rsidR="00511962" w:rsidRPr="00A814C3" w:rsidRDefault="00511962" w:rsidP="00492EB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6: Describe the relationship between the Represent and the Critique Stage</w:t>
      </w:r>
    </w:p>
    <w:p w14:paraId="252169B4" w14:textId="4B546C37" w:rsidR="00492EB8" w:rsidRPr="00833C49" w:rsidRDefault="00772BF4" w:rsidP="00833C49">
      <w:pPr>
        <w:pStyle w:val="a7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H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ow the chosen data is represented directly impact how other</w:t>
      </w:r>
      <w:r w:rsidR="002B33D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s may view them and </w:t>
      </w:r>
      <w:r w:rsidR="002A49E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remark</w:t>
      </w:r>
      <w:r w:rsidR="002B33D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them.</w:t>
      </w:r>
      <w:r w:rsidR="005D4B0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So</w:t>
      </w:r>
      <w:r w:rsidR="007E0E3D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,</w:t>
      </w:r>
      <w:r w:rsidR="00BE320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when criticized</w:t>
      </w:r>
      <w:r w:rsidR="002808F5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, how </w:t>
      </w:r>
      <w:r w:rsidR="006732B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the data should be better represented</w:t>
      </w:r>
      <w:r w:rsidR="00737C9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can be changed and reconsidered.</w:t>
      </w:r>
      <w:r w:rsidR="0082551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AB4E2F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Critique can </w:t>
      </w:r>
      <w:r w:rsidR="00FC6E1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impact the represent stage and </w:t>
      </w:r>
      <w:r w:rsidR="00AB4E2F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help visualizers </w:t>
      </w:r>
      <w:r w:rsidR="00A67FBE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to employ a different method of representing their data</w:t>
      </w:r>
      <w:r w:rsidR="0039117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</w:p>
    <w:p w14:paraId="7032E8CB" w14:textId="57D2D337" w:rsidR="00511962" w:rsidRPr="00492EB8" w:rsidRDefault="00511962" w:rsidP="00492EB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5: List 4 basic statistics methods for describing data</w:t>
      </w:r>
    </w:p>
    <w:p w14:paraId="4DFDCF4E" w14:textId="477B9669" w:rsidR="00492EB8" w:rsidRPr="00481A6B" w:rsidRDefault="00BE7F12" w:rsidP="00481A6B">
      <w:pPr>
        <w:pStyle w:val="a7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Maximum, minimum,</w:t>
      </w:r>
      <w:r w:rsidR="00A95AD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average (mean), </w:t>
      </w:r>
      <w:r w:rsidR="001D527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medium.</w:t>
      </w:r>
    </w:p>
    <w:p w14:paraId="6C19AB54" w14:textId="7AFA3BFC" w:rsidR="00511962" w:rsidRPr="00492EB8" w:rsidRDefault="00511962" w:rsidP="00492EB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4: Describe the relationship between the Critique and the Refine Stage</w:t>
      </w:r>
    </w:p>
    <w:p w14:paraId="6CDC3B10" w14:textId="588CB74A" w:rsidR="00492EB8" w:rsidRPr="00D04984" w:rsidRDefault="005C7199" w:rsidP="00D04984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ritique is the basis of refine</w:t>
      </w:r>
      <w:r w:rsidR="00B71B6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, since it provides opinions and </w:t>
      </w:r>
      <w:r w:rsidR="00A17CD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suggestions from </w:t>
      </w:r>
      <w:r w:rsidR="00980E4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different people – </w:t>
      </w:r>
      <w:r w:rsidR="009F424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which</w:t>
      </w:r>
      <w:r w:rsidR="00980E4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means </w:t>
      </w:r>
      <w:r w:rsidR="00A17CD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different angles</w:t>
      </w:r>
      <w:r w:rsidR="00861CA5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 By doing the critique part,</w:t>
      </w:r>
      <w:r w:rsidR="002343A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visualizers will </w:t>
      </w:r>
      <w:r w:rsidR="00B4417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have an amount of </w:t>
      </w:r>
      <w:r w:rsidR="00AA4BB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feedbacks </w:t>
      </w:r>
      <w:r w:rsidR="009136CC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to further improve their work</w:t>
      </w:r>
      <w:r w:rsidR="00A23CE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and present a much better </w:t>
      </w:r>
      <w:r w:rsidR="00B121B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visualization.</w:t>
      </w:r>
    </w:p>
    <w:p w14:paraId="2FCEB1D3" w14:textId="77A17D8F" w:rsidR="00511962" w:rsidRPr="00492EB8" w:rsidRDefault="00511962" w:rsidP="00492EB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3: List the advantages of mining before filtering data</w:t>
      </w:r>
    </w:p>
    <w:p w14:paraId="095AC9BE" w14:textId="3763CB0A" w:rsidR="00492EB8" w:rsidRPr="006C3CA5" w:rsidRDefault="00001CF2" w:rsidP="006C3CA5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ining stage </w:t>
      </w:r>
      <w:r w:rsidR="0027000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ensures a basic </w:t>
      </w:r>
      <w:r w:rsidR="009F054E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interpretation of the data set</w:t>
      </w:r>
      <w:r w:rsidR="00434296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by </w:t>
      </w:r>
      <w:r w:rsidR="00B37FC5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doing statistical calculations</w:t>
      </w:r>
      <w:r w:rsidR="003133BE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and </w:t>
      </w:r>
      <w:r w:rsidR="00DC21A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understanding simple patterns.</w:t>
      </w:r>
      <w:r w:rsidR="00E42E5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1940A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Since filtering data requires</w:t>
      </w:r>
      <w:r w:rsidR="00365FF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a clear picture of </w:t>
      </w:r>
      <w:r w:rsidR="00FF2A4C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each part of the data set</w:t>
      </w:r>
      <w:r w:rsidR="00245BE7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A4480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for visualizers to choose</w:t>
      </w:r>
      <w:r w:rsidR="0092203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, mining is very helpful in terms of </w:t>
      </w:r>
      <w:r w:rsidR="0063127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making </w:t>
      </w:r>
      <w:r w:rsidR="00A46C3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patterns and details of </w:t>
      </w:r>
      <w:r w:rsidR="00631274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all </w:t>
      </w:r>
      <w:r w:rsidR="00A6114A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columns and rows</w:t>
      </w:r>
      <w:r w:rsidR="00A46C3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461C00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straightforward and easy to understand.</w:t>
      </w:r>
    </w:p>
    <w:p w14:paraId="2788AC51" w14:textId="3B72CEFE" w:rsidR="00511962" w:rsidRPr="006164B7" w:rsidRDefault="00511962" w:rsidP="00143677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2: List the stages of visualizing data (covered in class)</w:t>
      </w:r>
    </w:p>
    <w:p w14:paraId="3E7BB014" w14:textId="045B9F2F" w:rsidR="00143677" w:rsidRPr="00143677" w:rsidRDefault="00150E90" w:rsidP="00143677">
      <w:pPr>
        <w:pStyle w:val="a7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cquire, parse, mine, filter, </w:t>
      </w:r>
      <w:r w:rsidR="00CF79D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, </w:t>
      </w:r>
      <w:r w:rsidR="00ED29F5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represent</w:t>
      </w:r>
      <w:r w:rsidR="00817E72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, critique,</w:t>
      </w:r>
      <w:r w:rsidR="00747DA8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refine</w:t>
      </w:r>
      <w:r w:rsidR="00A64B9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.</w:t>
      </w:r>
    </w:p>
    <w:p w14:paraId="41476FE6" w14:textId="5BA51C74" w:rsidR="00511962" w:rsidRPr="006164B7" w:rsidRDefault="00511962" w:rsidP="00A4703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</w:pPr>
      <w:r w:rsidRPr="00511962">
        <w:rPr>
          <w:rFonts w:ascii="Times New Roman" w:eastAsia="宋体" w:hAnsi="Times New Roman" w:cs="Times New Roman"/>
          <w:b/>
          <w:bCs/>
          <w:color w:val="494C4E"/>
          <w:kern w:val="0"/>
          <w:sz w:val="24"/>
          <w:szCs w:val="24"/>
        </w:rPr>
        <w:t>Call 1: Define &amp; give an example of a secondary data source</w:t>
      </w:r>
    </w:p>
    <w:p w14:paraId="26AF63E5" w14:textId="731FBCC8" w:rsidR="00551F61" w:rsidRDefault="009430F8" w:rsidP="00551F61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94C4E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econdary data source is the data source that</w:t>
      </w:r>
      <w:r w:rsidR="00F64E43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 </w:t>
      </w:r>
      <w:r w:rsidR="00361356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is based on a primary source and </w:t>
      </w:r>
      <w:r w:rsidR="00840E8B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has its own interpretation of </w:t>
      </w:r>
      <w:r w:rsidR="00622579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it.</w:t>
      </w:r>
    </w:p>
    <w:p w14:paraId="6841752A" w14:textId="540A3566" w:rsidR="00AF5BE6" w:rsidRPr="00551F61" w:rsidRDefault="00A92EE9" w:rsidP="00551F61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</w:pPr>
      <w:r w:rsidRPr="00551F6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 xml:space="preserve">A commentary/critique of a </w:t>
      </w:r>
      <w:r w:rsidR="002975D3" w:rsidRPr="00551F61">
        <w:rPr>
          <w:rFonts w:ascii="Times New Roman" w:eastAsia="宋体" w:hAnsi="Times New Roman" w:cs="Times New Roman"/>
          <w:color w:val="494C4E"/>
          <w:kern w:val="0"/>
          <w:sz w:val="24"/>
          <w:szCs w:val="24"/>
        </w:rPr>
        <w:t>romantic movie</w:t>
      </w:r>
    </w:p>
    <w:p w14:paraId="5A2E8F0B" w14:textId="46944072" w:rsidR="00B15658" w:rsidRPr="00511962" w:rsidRDefault="00CF79D9" w:rsidP="00511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sectPr w:rsidR="00B15658" w:rsidRPr="00511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C46A" w14:textId="77777777" w:rsidR="001A66CD" w:rsidRDefault="001A66CD" w:rsidP="00905F7A">
      <w:r>
        <w:separator/>
      </w:r>
    </w:p>
  </w:endnote>
  <w:endnote w:type="continuationSeparator" w:id="0">
    <w:p w14:paraId="5E1CF177" w14:textId="77777777" w:rsidR="001A66CD" w:rsidRDefault="001A66CD" w:rsidP="0090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8E77" w14:textId="77777777" w:rsidR="001A66CD" w:rsidRDefault="001A66CD" w:rsidP="00905F7A">
      <w:r>
        <w:separator/>
      </w:r>
    </w:p>
  </w:footnote>
  <w:footnote w:type="continuationSeparator" w:id="0">
    <w:p w14:paraId="35A73CFD" w14:textId="77777777" w:rsidR="001A66CD" w:rsidRDefault="001A66CD" w:rsidP="00905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F90"/>
    <w:multiLevelType w:val="hybridMultilevel"/>
    <w:tmpl w:val="1FA43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20007"/>
    <w:multiLevelType w:val="hybridMultilevel"/>
    <w:tmpl w:val="7960C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5B4678"/>
    <w:multiLevelType w:val="multilevel"/>
    <w:tmpl w:val="633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07551"/>
    <w:multiLevelType w:val="hybridMultilevel"/>
    <w:tmpl w:val="E81E5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874ED"/>
    <w:multiLevelType w:val="hybridMultilevel"/>
    <w:tmpl w:val="07E0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1E7999"/>
    <w:multiLevelType w:val="hybridMultilevel"/>
    <w:tmpl w:val="5D945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7F21EF"/>
    <w:multiLevelType w:val="hybridMultilevel"/>
    <w:tmpl w:val="2F228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DD1529"/>
    <w:multiLevelType w:val="hybridMultilevel"/>
    <w:tmpl w:val="01DA8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8749DD"/>
    <w:multiLevelType w:val="hybridMultilevel"/>
    <w:tmpl w:val="EAA42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131072"/>
    <w:multiLevelType w:val="hybridMultilevel"/>
    <w:tmpl w:val="3AF05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8A7E98"/>
    <w:multiLevelType w:val="hybridMultilevel"/>
    <w:tmpl w:val="9E0C9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0C7C57"/>
    <w:multiLevelType w:val="hybridMultilevel"/>
    <w:tmpl w:val="BDE6D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ADB5FFE"/>
    <w:multiLevelType w:val="hybridMultilevel"/>
    <w:tmpl w:val="A8E26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B527B8"/>
    <w:multiLevelType w:val="hybridMultilevel"/>
    <w:tmpl w:val="D67E2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0D6E39"/>
    <w:multiLevelType w:val="hybridMultilevel"/>
    <w:tmpl w:val="A6EA0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06131D"/>
    <w:multiLevelType w:val="hybridMultilevel"/>
    <w:tmpl w:val="FEDA9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8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7"/>
    <w:rsid w:val="00001C67"/>
    <w:rsid w:val="00001CF2"/>
    <w:rsid w:val="00007E4E"/>
    <w:rsid w:val="00012E4C"/>
    <w:rsid w:val="00020B85"/>
    <w:rsid w:val="0002407E"/>
    <w:rsid w:val="00041D57"/>
    <w:rsid w:val="000450E4"/>
    <w:rsid w:val="000531BA"/>
    <w:rsid w:val="00061D53"/>
    <w:rsid w:val="00063BF3"/>
    <w:rsid w:val="00064D4F"/>
    <w:rsid w:val="00075722"/>
    <w:rsid w:val="00077DB3"/>
    <w:rsid w:val="00086F6C"/>
    <w:rsid w:val="00091ED2"/>
    <w:rsid w:val="000A1D58"/>
    <w:rsid w:val="000C740C"/>
    <w:rsid w:val="000C7BE7"/>
    <w:rsid w:val="000D5C62"/>
    <w:rsid w:val="000D71EA"/>
    <w:rsid w:val="000E4B08"/>
    <w:rsid w:val="000F28DB"/>
    <w:rsid w:val="000F30A6"/>
    <w:rsid w:val="0010386C"/>
    <w:rsid w:val="00114C13"/>
    <w:rsid w:val="00117828"/>
    <w:rsid w:val="00137C1A"/>
    <w:rsid w:val="00143677"/>
    <w:rsid w:val="00150E90"/>
    <w:rsid w:val="00156198"/>
    <w:rsid w:val="001667D8"/>
    <w:rsid w:val="00172D67"/>
    <w:rsid w:val="001830A7"/>
    <w:rsid w:val="001867F2"/>
    <w:rsid w:val="00187E30"/>
    <w:rsid w:val="00193288"/>
    <w:rsid w:val="001940A4"/>
    <w:rsid w:val="00194B82"/>
    <w:rsid w:val="001A041C"/>
    <w:rsid w:val="001A4BB7"/>
    <w:rsid w:val="001A66CD"/>
    <w:rsid w:val="001B7A06"/>
    <w:rsid w:val="001C5919"/>
    <w:rsid w:val="001C7C16"/>
    <w:rsid w:val="001D3699"/>
    <w:rsid w:val="001D5270"/>
    <w:rsid w:val="001E03D7"/>
    <w:rsid w:val="001E6817"/>
    <w:rsid w:val="001E7E51"/>
    <w:rsid w:val="00202961"/>
    <w:rsid w:val="0020348E"/>
    <w:rsid w:val="002037A9"/>
    <w:rsid w:val="00211A60"/>
    <w:rsid w:val="00232199"/>
    <w:rsid w:val="0023320E"/>
    <w:rsid w:val="00234387"/>
    <w:rsid w:val="002343AB"/>
    <w:rsid w:val="00245BE7"/>
    <w:rsid w:val="002602F1"/>
    <w:rsid w:val="0026752E"/>
    <w:rsid w:val="00270008"/>
    <w:rsid w:val="002764C4"/>
    <w:rsid w:val="002808F5"/>
    <w:rsid w:val="002975D3"/>
    <w:rsid w:val="002A49E1"/>
    <w:rsid w:val="002A4F87"/>
    <w:rsid w:val="002A670B"/>
    <w:rsid w:val="002A69D7"/>
    <w:rsid w:val="002B33D4"/>
    <w:rsid w:val="002B6B39"/>
    <w:rsid w:val="002C3B00"/>
    <w:rsid w:val="002D1D13"/>
    <w:rsid w:val="002D6FEC"/>
    <w:rsid w:val="002E38DA"/>
    <w:rsid w:val="002F3425"/>
    <w:rsid w:val="003133BE"/>
    <w:rsid w:val="003469B6"/>
    <w:rsid w:val="00347AAA"/>
    <w:rsid w:val="0035469A"/>
    <w:rsid w:val="00360308"/>
    <w:rsid w:val="00361356"/>
    <w:rsid w:val="00361DED"/>
    <w:rsid w:val="00362121"/>
    <w:rsid w:val="00365FFA"/>
    <w:rsid w:val="00367D6B"/>
    <w:rsid w:val="00391171"/>
    <w:rsid w:val="003A78C2"/>
    <w:rsid w:val="003C4003"/>
    <w:rsid w:val="003C5BA2"/>
    <w:rsid w:val="003F0EAE"/>
    <w:rsid w:val="004120D7"/>
    <w:rsid w:val="004213FF"/>
    <w:rsid w:val="00431DE0"/>
    <w:rsid w:val="00434296"/>
    <w:rsid w:val="004431E2"/>
    <w:rsid w:val="00461C00"/>
    <w:rsid w:val="00480EB4"/>
    <w:rsid w:val="00481A6B"/>
    <w:rsid w:val="00482018"/>
    <w:rsid w:val="004857A6"/>
    <w:rsid w:val="00492EB8"/>
    <w:rsid w:val="004A5FA4"/>
    <w:rsid w:val="004B279F"/>
    <w:rsid w:val="004B721D"/>
    <w:rsid w:val="004C02C9"/>
    <w:rsid w:val="004E09AC"/>
    <w:rsid w:val="004E4AD8"/>
    <w:rsid w:val="004E64BE"/>
    <w:rsid w:val="004F7050"/>
    <w:rsid w:val="00502FB7"/>
    <w:rsid w:val="005118AB"/>
    <w:rsid w:val="00511962"/>
    <w:rsid w:val="005224A5"/>
    <w:rsid w:val="00540DBF"/>
    <w:rsid w:val="00544E02"/>
    <w:rsid w:val="0054540B"/>
    <w:rsid w:val="00550D85"/>
    <w:rsid w:val="00551F61"/>
    <w:rsid w:val="0055259E"/>
    <w:rsid w:val="00580A5F"/>
    <w:rsid w:val="00593909"/>
    <w:rsid w:val="005A2C15"/>
    <w:rsid w:val="005A440F"/>
    <w:rsid w:val="005A4D71"/>
    <w:rsid w:val="005A65C2"/>
    <w:rsid w:val="005B544C"/>
    <w:rsid w:val="005C2189"/>
    <w:rsid w:val="005C7199"/>
    <w:rsid w:val="005C731E"/>
    <w:rsid w:val="005C75A3"/>
    <w:rsid w:val="005D4B00"/>
    <w:rsid w:val="00600589"/>
    <w:rsid w:val="00600D58"/>
    <w:rsid w:val="0061181E"/>
    <w:rsid w:val="00615D2E"/>
    <w:rsid w:val="006164B7"/>
    <w:rsid w:val="00622579"/>
    <w:rsid w:val="00631274"/>
    <w:rsid w:val="00641F1B"/>
    <w:rsid w:val="00642930"/>
    <w:rsid w:val="00642B14"/>
    <w:rsid w:val="006732B7"/>
    <w:rsid w:val="0069250A"/>
    <w:rsid w:val="006A5471"/>
    <w:rsid w:val="006A763E"/>
    <w:rsid w:val="006B03EF"/>
    <w:rsid w:val="006B2245"/>
    <w:rsid w:val="006C3CA5"/>
    <w:rsid w:val="006E5940"/>
    <w:rsid w:val="006F07CA"/>
    <w:rsid w:val="006F1811"/>
    <w:rsid w:val="00700703"/>
    <w:rsid w:val="0070182B"/>
    <w:rsid w:val="00727F3B"/>
    <w:rsid w:val="00737C9A"/>
    <w:rsid w:val="007437B8"/>
    <w:rsid w:val="0074430E"/>
    <w:rsid w:val="00747DA8"/>
    <w:rsid w:val="007626F9"/>
    <w:rsid w:val="007726DF"/>
    <w:rsid w:val="00772BF4"/>
    <w:rsid w:val="007946E1"/>
    <w:rsid w:val="007C639D"/>
    <w:rsid w:val="007D6979"/>
    <w:rsid w:val="007E0E3D"/>
    <w:rsid w:val="007E7BED"/>
    <w:rsid w:val="007F24D3"/>
    <w:rsid w:val="008009BB"/>
    <w:rsid w:val="0081373D"/>
    <w:rsid w:val="00817E72"/>
    <w:rsid w:val="00821E00"/>
    <w:rsid w:val="00825517"/>
    <w:rsid w:val="00833C49"/>
    <w:rsid w:val="00840E8B"/>
    <w:rsid w:val="00861CA5"/>
    <w:rsid w:val="00865B5E"/>
    <w:rsid w:val="00893D41"/>
    <w:rsid w:val="008B6E66"/>
    <w:rsid w:val="008D78D1"/>
    <w:rsid w:val="008E3C35"/>
    <w:rsid w:val="008F1117"/>
    <w:rsid w:val="008F5490"/>
    <w:rsid w:val="0090126B"/>
    <w:rsid w:val="00905F7A"/>
    <w:rsid w:val="009136CC"/>
    <w:rsid w:val="00920C85"/>
    <w:rsid w:val="00921B22"/>
    <w:rsid w:val="00922030"/>
    <w:rsid w:val="009238C1"/>
    <w:rsid w:val="00923D9C"/>
    <w:rsid w:val="00933924"/>
    <w:rsid w:val="009430F8"/>
    <w:rsid w:val="00943821"/>
    <w:rsid w:val="00962CDE"/>
    <w:rsid w:val="00973BC3"/>
    <w:rsid w:val="00980E42"/>
    <w:rsid w:val="00990AC9"/>
    <w:rsid w:val="009942CA"/>
    <w:rsid w:val="009A64EE"/>
    <w:rsid w:val="009A717E"/>
    <w:rsid w:val="009B18CB"/>
    <w:rsid w:val="009B6FB9"/>
    <w:rsid w:val="009D3959"/>
    <w:rsid w:val="009D6091"/>
    <w:rsid w:val="009F054E"/>
    <w:rsid w:val="009F0761"/>
    <w:rsid w:val="009F2158"/>
    <w:rsid w:val="009F2692"/>
    <w:rsid w:val="009F4244"/>
    <w:rsid w:val="00A07EFF"/>
    <w:rsid w:val="00A139FF"/>
    <w:rsid w:val="00A17CD4"/>
    <w:rsid w:val="00A23CE9"/>
    <w:rsid w:val="00A247FD"/>
    <w:rsid w:val="00A3529F"/>
    <w:rsid w:val="00A44802"/>
    <w:rsid w:val="00A46C30"/>
    <w:rsid w:val="00A4703E"/>
    <w:rsid w:val="00A533E2"/>
    <w:rsid w:val="00A569F5"/>
    <w:rsid w:val="00A5775D"/>
    <w:rsid w:val="00A6114A"/>
    <w:rsid w:val="00A64B99"/>
    <w:rsid w:val="00A67FBE"/>
    <w:rsid w:val="00A72C12"/>
    <w:rsid w:val="00A814C3"/>
    <w:rsid w:val="00A86245"/>
    <w:rsid w:val="00A92EE9"/>
    <w:rsid w:val="00A95AD8"/>
    <w:rsid w:val="00AA492A"/>
    <w:rsid w:val="00AA4BBA"/>
    <w:rsid w:val="00AB2714"/>
    <w:rsid w:val="00AB4E2F"/>
    <w:rsid w:val="00AE05EE"/>
    <w:rsid w:val="00AF5BE6"/>
    <w:rsid w:val="00B04FB5"/>
    <w:rsid w:val="00B10554"/>
    <w:rsid w:val="00B10784"/>
    <w:rsid w:val="00B10DE2"/>
    <w:rsid w:val="00B121BA"/>
    <w:rsid w:val="00B15658"/>
    <w:rsid w:val="00B2431B"/>
    <w:rsid w:val="00B37FC5"/>
    <w:rsid w:val="00B40D54"/>
    <w:rsid w:val="00B43B59"/>
    <w:rsid w:val="00B44170"/>
    <w:rsid w:val="00B457F5"/>
    <w:rsid w:val="00B51E32"/>
    <w:rsid w:val="00B60EA6"/>
    <w:rsid w:val="00B61877"/>
    <w:rsid w:val="00B67AA2"/>
    <w:rsid w:val="00B71B62"/>
    <w:rsid w:val="00B72DF2"/>
    <w:rsid w:val="00B7763C"/>
    <w:rsid w:val="00B92F48"/>
    <w:rsid w:val="00BB06A3"/>
    <w:rsid w:val="00BC03CA"/>
    <w:rsid w:val="00BC4A11"/>
    <w:rsid w:val="00BD18F0"/>
    <w:rsid w:val="00BD3B38"/>
    <w:rsid w:val="00BE3204"/>
    <w:rsid w:val="00BE7F12"/>
    <w:rsid w:val="00BF3094"/>
    <w:rsid w:val="00BF6DFD"/>
    <w:rsid w:val="00BF7D20"/>
    <w:rsid w:val="00C01049"/>
    <w:rsid w:val="00C1499C"/>
    <w:rsid w:val="00C234C2"/>
    <w:rsid w:val="00C24758"/>
    <w:rsid w:val="00C41C21"/>
    <w:rsid w:val="00C42794"/>
    <w:rsid w:val="00C46BCC"/>
    <w:rsid w:val="00C50380"/>
    <w:rsid w:val="00C50882"/>
    <w:rsid w:val="00C520FC"/>
    <w:rsid w:val="00C63B67"/>
    <w:rsid w:val="00C74DAC"/>
    <w:rsid w:val="00C80C8E"/>
    <w:rsid w:val="00C879D4"/>
    <w:rsid w:val="00C91E2F"/>
    <w:rsid w:val="00CB3549"/>
    <w:rsid w:val="00CD1D0C"/>
    <w:rsid w:val="00CD3A0E"/>
    <w:rsid w:val="00CE514B"/>
    <w:rsid w:val="00CF3708"/>
    <w:rsid w:val="00CF5BFF"/>
    <w:rsid w:val="00CF79D9"/>
    <w:rsid w:val="00D04984"/>
    <w:rsid w:val="00D117D4"/>
    <w:rsid w:val="00D15268"/>
    <w:rsid w:val="00D161D5"/>
    <w:rsid w:val="00D202B2"/>
    <w:rsid w:val="00D21F20"/>
    <w:rsid w:val="00D22B05"/>
    <w:rsid w:val="00D2314A"/>
    <w:rsid w:val="00D231BA"/>
    <w:rsid w:val="00D2400D"/>
    <w:rsid w:val="00D33F97"/>
    <w:rsid w:val="00D46C9D"/>
    <w:rsid w:val="00D51AB4"/>
    <w:rsid w:val="00D55FCA"/>
    <w:rsid w:val="00D61D72"/>
    <w:rsid w:val="00D635EE"/>
    <w:rsid w:val="00D66025"/>
    <w:rsid w:val="00D80972"/>
    <w:rsid w:val="00D83971"/>
    <w:rsid w:val="00DA46F2"/>
    <w:rsid w:val="00DB27E2"/>
    <w:rsid w:val="00DC21A2"/>
    <w:rsid w:val="00DC6B86"/>
    <w:rsid w:val="00DE3265"/>
    <w:rsid w:val="00DF0A63"/>
    <w:rsid w:val="00DF4642"/>
    <w:rsid w:val="00E01518"/>
    <w:rsid w:val="00E17812"/>
    <w:rsid w:val="00E220A9"/>
    <w:rsid w:val="00E237F0"/>
    <w:rsid w:val="00E2608E"/>
    <w:rsid w:val="00E27D5B"/>
    <w:rsid w:val="00E37593"/>
    <w:rsid w:val="00E37F4E"/>
    <w:rsid w:val="00E42E54"/>
    <w:rsid w:val="00E44BE3"/>
    <w:rsid w:val="00E70E4B"/>
    <w:rsid w:val="00E96866"/>
    <w:rsid w:val="00E9736D"/>
    <w:rsid w:val="00E97FB0"/>
    <w:rsid w:val="00EA1709"/>
    <w:rsid w:val="00EA5017"/>
    <w:rsid w:val="00EC2266"/>
    <w:rsid w:val="00EC4309"/>
    <w:rsid w:val="00EC4A7E"/>
    <w:rsid w:val="00EC53F5"/>
    <w:rsid w:val="00ED29F5"/>
    <w:rsid w:val="00ED36DB"/>
    <w:rsid w:val="00EF73E5"/>
    <w:rsid w:val="00F01EEB"/>
    <w:rsid w:val="00F03D87"/>
    <w:rsid w:val="00F05F61"/>
    <w:rsid w:val="00F06E3F"/>
    <w:rsid w:val="00F10973"/>
    <w:rsid w:val="00F162E0"/>
    <w:rsid w:val="00F243EC"/>
    <w:rsid w:val="00F319BE"/>
    <w:rsid w:val="00F54E91"/>
    <w:rsid w:val="00F62C6D"/>
    <w:rsid w:val="00F64E43"/>
    <w:rsid w:val="00F6714B"/>
    <w:rsid w:val="00F67425"/>
    <w:rsid w:val="00F816D2"/>
    <w:rsid w:val="00F81983"/>
    <w:rsid w:val="00F861C8"/>
    <w:rsid w:val="00F95E08"/>
    <w:rsid w:val="00FA10EB"/>
    <w:rsid w:val="00FA4981"/>
    <w:rsid w:val="00FA4F62"/>
    <w:rsid w:val="00FC02B8"/>
    <w:rsid w:val="00FC6E11"/>
    <w:rsid w:val="00FE112A"/>
    <w:rsid w:val="00FE21C3"/>
    <w:rsid w:val="00FE777B"/>
    <w:rsid w:val="00FE7EF0"/>
    <w:rsid w:val="00FF2A4C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09B4A"/>
  <w15:chartTrackingRefBased/>
  <w15:docId w15:val="{D43A8447-A4B0-4935-B7C2-C17B1F0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20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D202B2"/>
  </w:style>
  <w:style w:type="character" w:customStyle="1" w:styleId="eop">
    <w:name w:val="eop"/>
    <w:basedOn w:val="a0"/>
    <w:rsid w:val="00D202B2"/>
  </w:style>
  <w:style w:type="paragraph" w:styleId="a3">
    <w:name w:val="header"/>
    <w:basedOn w:val="a"/>
    <w:link w:val="a4"/>
    <w:uiPriority w:val="99"/>
    <w:unhideWhenUsed/>
    <w:rsid w:val="0090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F7A"/>
    <w:rPr>
      <w:sz w:val="18"/>
      <w:szCs w:val="18"/>
    </w:rPr>
  </w:style>
  <w:style w:type="paragraph" w:styleId="a7">
    <w:name w:val="List Paragraph"/>
    <w:basedOn w:val="a"/>
    <w:uiPriority w:val="34"/>
    <w:qFormat/>
    <w:rsid w:val="00551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Jiaxiang</dc:creator>
  <cp:keywords/>
  <dc:description/>
  <cp:lastModifiedBy>Li, Jiaxiang</cp:lastModifiedBy>
  <cp:revision>383</cp:revision>
  <dcterms:created xsi:type="dcterms:W3CDTF">2021-09-09T16:42:00Z</dcterms:created>
  <dcterms:modified xsi:type="dcterms:W3CDTF">2021-09-28T14:38:00Z</dcterms:modified>
</cp:coreProperties>
</file>