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4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4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" w:name="_A.7 查询机动车照片"/>
      <w:r>
        <w:rPr>
          <w:rFonts w:hint="eastAsia"/>
          <w:lang w:val="en-US" w:eastAsia="zh-CN"/>
        </w:rPr>
        <w:t>A.7 查询机动车照片</w:t>
      </w:r>
    </w:p>
    <w:bookmarkEnd w:id="1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6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A.9 查询入场信息"/>
      <w:r>
        <w:rPr>
          <w:rFonts w:hint="eastAsia"/>
          <w:lang w:val="en-US" w:eastAsia="zh-CN"/>
        </w:rPr>
        <w:t>A.9 查询入场信息</w:t>
      </w:r>
    </w:p>
    <w:bookmarkEnd w:id="1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8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19" w:name="_A.16 查询信息人工项目和照片代码"/>
            <w:bookmarkStart w:id="20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  <w:bookmarkEnd w:id="19"/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1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2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6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Toc1376"/>
      <w:r>
        <w:rPr>
          <w:rFonts w:hint="eastAsia"/>
          <w:lang w:val="en-US" w:eastAsia="zh-CN"/>
        </w:rPr>
        <w:t>附录B 写入类接口</w:t>
      </w:r>
      <w:bookmarkEnd w:id="2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B.1 用户登录接口"/>
      <w:r>
        <w:rPr>
          <w:rFonts w:hint="eastAsia"/>
          <w:lang w:val="en-US" w:eastAsia="zh-CN"/>
        </w:rPr>
        <w:t>B.1 用户登录接口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10 项目开始"/>
      <w:r>
        <w:rPr>
          <w:rFonts w:hint="eastAsia"/>
          <w:lang w:val="en-US" w:eastAsia="zh-CN"/>
        </w:rPr>
        <w:t>B.10 项目开始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1 项目结束"/>
      <w:r>
        <w:rPr>
          <w:rFonts w:hint="eastAsia"/>
          <w:lang w:val="en-US" w:eastAsia="zh-CN"/>
        </w:rPr>
        <w:t>B.11 上传数据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39" w:name="_GoBack"/>
      <w:bookmarkEnd w:id="39"/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2 项目结束"/>
      <w:r>
        <w:rPr>
          <w:rFonts w:hint="eastAsia"/>
          <w:lang w:val="en-US" w:eastAsia="zh-CN"/>
        </w:rPr>
        <w:t>B.12 项目结束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19128"/>
      <w:r>
        <w:rPr>
          <w:rFonts w:hint="eastAsia"/>
          <w:lang w:val="en-US" w:eastAsia="zh-CN"/>
        </w:rPr>
        <w:t>附录C 数据规范说明</w:t>
      </w:r>
      <w:bookmarkEnd w:id="3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5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9 照片代码详细信息"/>
      <w:r>
        <w:rPr>
          <w:rFonts w:hint="eastAsia"/>
          <w:lang w:val="en-US" w:eastAsia="zh-CN"/>
        </w:rPr>
        <w:t>C.9 照片代码详细信息</w:t>
      </w:r>
    </w:p>
    <w:bookmarkEnd w:id="36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1574"/>
      <w:r>
        <w:rPr>
          <w:rFonts w:hint="eastAsia"/>
          <w:lang w:val="en-US" w:eastAsia="zh-CN"/>
        </w:rPr>
        <w:t>附录D 检验流程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31851"/>
      <w:r>
        <w:rPr>
          <w:rFonts w:hint="eastAsia"/>
          <w:lang w:val="en-US" w:eastAsia="zh-CN"/>
        </w:rPr>
        <w:t>附录E 错误列表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5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4"/>
  </w:num>
  <w:num w:numId="2">
    <w:abstractNumId w:val="25"/>
  </w:num>
  <w:num w:numId="3">
    <w:abstractNumId w:val="20"/>
  </w:num>
  <w:num w:numId="4">
    <w:abstractNumId w:val="43"/>
  </w:num>
  <w:num w:numId="5">
    <w:abstractNumId w:val="30"/>
  </w:num>
  <w:num w:numId="6">
    <w:abstractNumId w:val="33"/>
  </w:num>
  <w:num w:numId="7">
    <w:abstractNumId w:val="16"/>
  </w:num>
  <w:num w:numId="8">
    <w:abstractNumId w:val="44"/>
  </w:num>
  <w:num w:numId="9">
    <w:abstractNumId w:val="21"/>
  </w:num>
  <w:num w:numId="10">
    <w:abstractNumId w:val="35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8"/>
  </w:num>
  <w:num w:numId="17">
    <w:abstractNumId w:val="7"/>
  </w:num>
  <w:num w:numId="18">
    <w:abstractNumId w:val="40"/>
  </w:num>
  <w:num w:numId="19">
    <w:abstractNumId w:val="19"/>
  </w:num>
  <w:num w:numId="20">
    <w:abstractNumId w:val="4"/>
  </w:num>
  <w:num w:numId="21">
    <w:abstractNumId w:val="17"/>
  </w:num>
  <w:num w:numId="22">
    <w:abstractNumId w:val="47"/>
  </w:num>
  <w:num w:numId="23">
    <w:abstractNumId w:val="24"/>
  </w:num>
  <w:num w:numId="24">
    <w:abstractNumId w:val="46"/>
  </w:num>
  <w:num w:numId="25">
    <w:abstractNumId w:val="29"/>
  </w:num>
  <w:num w:numId="26">
    <w:abstractNumId w:val="42"/>
  </w:num>
  <w:num w:numId="27">
    <w:abstractNumId w:val="0"/>
  </w:num>
  <w:num w:numId="28">
    <w:abstractNumId w:val="23"/>
  </w:num>
  <w:num w:numId="29">
    <w:abstractNumId w:val="14"/>
  </w:num>
  <w:num w:numId="30">
    <w:abstractNumId w:val="11"/>
  </w:num>
  <w:num w:numId="31">
    <w:abstractNumId w:val="9"/>
  </w:num>
  <w:num w:numId="32">
    <w:abstractNumId w:val="28"/>
  </w:num>
  <w:num w:numId="33">
    <w:abstractNumId w:val="38"/>
  </w:num>
  <w:num w:numId="34">
    <w:abstractNumId w:val="39"/>
  </w:num>
  <w:num w:numId="35">
    <w:abstractNumId w:val="12"/>
  </w:num>
  <w:num w:numId="36">
    <w:abstractNumId w:val="37"/>
  </w:num>
  <w:num w:numId="37">
    <w:abstractNumId w:val="48"/>
  </w:num>
  <w:num w:numId="38">
    <w:abstractNumId w:val="1"/>
  </w:num>
  <w:num w:numId="39">
    <w:abstractNumId w:val="27"/>
  </w:num>
  <w:num w:numId="40">
    <w:abstractNumId w:val="26"/>
  </w:num>
  <w:num w:numId="41">
    <w:abstractNumId w:val="5"/>
  </w:num>
  <w:num w:numId="42">
    <w:abstractNumId w:val="41"/>
  </w:num>
  <w:num w:numId="43">
    <w:abstractNumId w:val="22"/>
  </w:num>
  <w:num w:numId="44">
    <w:abstractNumId w:val="32"/>
  </w:num>
  <w:num w:numId="45">
    <w:abstractNumId w:val="15"/>
  </w:num>
  <w:num w:numId="46">
    <w:abstractNumId w:val="3"/>
  </w:num>
  <w:num w:numId="47">
    <w:abstractNumId w:val="45"/>
  </w:num>
  <w:num w:numId="48">
    <w:abstractNumId w:val="3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21B6523"/>
    <w:rsid w:val="023212B4"/>
    <w:rsid w:val="025C2A95"/>
    <w:rsid w:val="036C4599"/>
    <w:rsid w:val="03C860A8"/>
    <w:rsid w:val="04E47B1D"/>
    <w:rsid w:val="056D0C41"/>
    <w:rsid w:val="05984429"/>
    <w:rsid w:val="059B2D22"/>
    <w:rsid w:val="05AE0B50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BD4FA8"/>
    <w:rsid w:val="0D1E03E0"/>
    <w:rsid w:val="0DBA3AA3"/>
    <w:rsid w:val="0DC96C3B"/>
    <w:rsid w:val="0E7F0FA2"/>
    <w:rsid w:val="0E8430B2"/>
    <w:rsid w:val="0EA34F6C"/>
    <w:rsid w:val="0EAA6B06"/>
    <w:rsid w:val="0EEA5280"/>
    <w:rsid w:val="0F9D273E"/>
    <w:rsid w:val="0FC91619"/>
    <w:rsid w:val="0FE25476"/>
    <w:rsid w:val="100B407B"/>
    <w:rsid w:val="114B23DF"/>
    <w:rsid w:val="11A05ECE"/>
    <w:rsid w:val="12684D4B"/>
    <w:rsid w:val="12F92AC9"/>
    <w:rsid w:val="14844C3E"/>
    <w:rsid w:val="156055BC"/>
    <w:rsid w:val="156B24B8"/>
    <w:rsid w:val="16516211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F10EDA"/>
    <w:rsid w:val="20370574"/>
    <w:rsid w:val="20B4255C"/>
    <w:rsid w:val="210271AF"/>
    <w:rsid w:val="21205D86"/>
    <w:rsid w:val="21D11CB5"/>
    <w:rsid w:val="21E07699"/>
    <w:rsid w:val="241D5A3B"/>
    <w:rsid w:val="24AF4E0A"/>
    <w:rsid w:val="256718FC"/>
    <w:rsid w:val="257205DE"/>
    <w:rsid w:val="25D023DC"/>
    <w:rsid w:val="28853641"/>
    <w:rsid w:val="28A51D7B"/>
    <w:rsid w:val="28CF46D6"/>
    <w:rsid w:val="2A331B01"/>
    <w:rsid w:val="2AF92443"/>
    <w:rsid w:val="2C857926"/>
    <w:rsid w:val="2DC90248"/>
    <w:rsid w:val="2DF257FE"/>
    <w:rsid w:val="2EB45BB2"/>
    <w:rsid w:val="2ED07E1C"/>
    <w:rsid w:val="2EE51575"/>
    <w:rsid w:val="2EE6606D"/>
    <w:rsid w:val="2FD84D4B"/>
    <w:rsid w:val="30230CE6"/>
    <w:rsid w:val="30271541"/>
    <w:rsid w:val="30380215"/>
    <w:rsid w:val="30FF0624"/>
    <w:rsid w:val="315A4253"/>
    <w:rsid w:val="3173541A"/>
    <w:rsid w:val="320272FD"/>
    <w:rsid w:val="322F3DB8"/>
    <w:rsid w:val="32DF2C35"/>
    <w:rsid w:val="331D07D3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C2F2A2E"/>
    <w:rsid w:val="3D6F6E89"/>
    <w:rsid w:val="3FC67D94"/>
    <w:rsid w:val="409018AF"/>
    <w:rsid w:val="412D686F"/>
    <w:rsid w:val="41B762ED"/>
    <w:rsid w:val="4315374F"/>
    <w:rsid w:val="43F32881"/>
    <w:rsid w:val="43F774EC"/>
    <w:rsid w:val="443A6B32"/>
    <w:rsid w:val="446D5363"/>
    <w:rsid w:val="454A36AB"/>
    <w:rsid w:val="454D3BBD"/>
    <w:rsid w:val="47D56B78"/>
    <w:rsid w:val="480E756C"/>
    <w:rsid w:val="4AA7694C"/>
    <w:rsid w:val="4ABF170F"/>
    <w:rsid w:val="4B076632"/>
    <w:rsid w:val="4B6C5021"/>
    <w:rsid w:val="4B933BD0"/>
    <w:rsid w:val="4C713B8E"/>
    <w:rsid w:val="4C8844A8"/>
    <w:rsid w:val="4D27649F"/>
    <w:rsid w:val="4D8C4D11"/>
    <w:rsid w:val="4DB7491F"/>
    <w:rsid w:val="4E070BE8"/>
    <w:rsid w:val="4F29778D"/>
    <w:rsid w:val="4F623D6B"/>
    <w:rsid w:val="4F6E35D5"/>
    <w:rsid w:val="507107BA"/>
    <w:rsid w:val="51055FB9"/>
    <w:rsid w:val="5134205D"/>
    <w:rsid w:val="51500CBC"/>
    <w:rsid w:val="51684C1D"/>
    <w:rsid w:val="52A73B6C"/>
    <w:rsid w:val="52B02596"/>
    <w:rsid w:val="52B24387"/>
    <w:rsid w:val="52B276A7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9093390"/>
    <w:rsid w:val="593C478A"/>
    <w:rsid w:val="5A7672A9"/>
    <w:rsid w:val="5AA12504"/>
    <w:rsid w:val="5AEC07A2"/>
    <w:rsid w:val="5AFE4C6C"/>
    <w:rsid w:val="5C6548E5"/>
    <w:rsid w:val="5D121B72"/>
    <w:rsid w:val="5D330B2F"/>
    <w:rsid w:val="5D976F4B"/>
    <w:rsid w:val="5DD22CFF"/>
    <w:rsid w:val="5E3F1665"/>
    <w:rsid w:val="5FC86518"/>
    <w:rsid w:val="609D153A"/>
    <w:rsid w:val="61F21F72"/>
    <w:rsid w:val="62377926"/>
    <w:rsid w:val="624C6CA6"/>
    <w:rsid w:val="62A06EC2"/>
    <w:rsid w:val="63081A0C"/>
    <w:rsid w:val="63442359"/>
    <w:rsid w:val="643D5403"/>
    <w:rsid w:val="65556AE7"/>
    <w:rsid w:val="65D35C16"/>
    <w:rsid w:val="66DA2F4B"/>
    <w:rsid w:val="66EA6A29"/>
    <w:rsid w:val="671711BA"/>
    <w:rsid w:val="68395089"/>
    <w:rsid w:val="6861576A"/>
    <w:rsid w:val="68DB58B1"/>
    <w:rsid w:val="691F1153"/>
    <w:rsid w:val="694638A8"/>
    <w:rsid w:val="6ABF128F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C94B11"/>
    <w:rsid w:val="6EED62CB"/>
    <w:rsid w:val="6EFD5AB2"/>
    <w:rsid w:val="6F7E4E45"/>
    <w:rsid w:val="6F7F70F9"/>
    <w:rsid w:val="6FB34575"/>
    <w:rsid w:val="70136DFF"/>
    <w:rsid w:val="70636F58"/>
    <w:rsid w:val="713A6780"/>
    <w:rsid w:val="71926986"/>
    <w:rsid w:val="72777068"/>
    <w:rsid w:val="72843219"/>
    <w:rsid w:val="72AB259D"/>
    <w:rsid w:val="739640FE"/>
    <w:rsid w:val="73EB6821"/>
    <w:rsid w:val="74A73631"/>
    <w:rsid w:val="753F6E24"/>
    <w:rsid w:val="75CB239E"/>
    <w:rsid w:val="75E655E8"/>
    <w:rsid w:val="78FC4F0A"/>
    <w:rsid w:val="7A98312F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2021-11-11T07:16:47Z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98F51D68A34D42AE9471CE221773B948</vt:lpwstr>
  </property>
</Properties>
</file>