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Angular Modulation in Classical Systems</w:t>
        <w:br/>
        <w:br/>
        <w:t>A Geometric Proof of Cos(φ) and Cos²(φ) Decay</w:t>
      </w:r>
    </w:p>
    <w:p>
      <w:pPr>
        <w:pStyle w:val="Normal"/>
      </w:pPr>
      <w:r>
        <w:t>A Geometric Proof of Cos(φ) and Cos²(φ) Decay</w:t>
      </w:r>
    </w:p>
    <w:p>
      <w:pPr>
        <w:pStyle w:val="Normal"/>
      </w:pPr>
      <w:r>
        <w:t>.</w:t>
      </w:r>
    </w:p>
    <w:p>
      <w:pPr>
        <w:pStyle w:val="Normal"/>
      </w:pPr>
      <w:r>
        <w:t xml:space="preserve">Submitted by Iwl Robran  </w:t>
        <w:br/>
        <w:t>Date: June, 2, 2025</w:t>
      </w:r>
    </w:p>
    <w:p>
      <w:pPr>
        <w:pStyle w:val="Normal"/>
      </w:pPr>
    </w:p>
    <w:p>
      <w:pPr>
        <w:pStyle w:val="Heading1"/>
      </w:pPr>
      <w:r>
        <w:br/>
        <w:t>Author’s Note</w:t>
      </w:r>
    </w:p>
    <w:p>
      <w:pPr>
        <w:pStyle w:val="Normal"/>
      </w:pPr>
      <w:r>
        <w:t>This thesis began with a simple intuition: that the familiar curves of cos(φ) and cos²(φ) reflect something deeper than mere coincidence—they inescapably emerge from rotation itself. That core idea guided the structure, examples, and reasoning throughout.</w:t>
      </w:r>
    </w:p>
    <w:p>
      <w:pPr>
        <w:pStyle w:val="Normal"/>
      </w:pPr>
      <w:r>
        <w:t>The argument was conceived and developed independently by the author. Computational tools were used solely for editing, formatting, and symbolic refinement. All insights, errors, and conclusions are the responsibility of the author.</w:t>
        <w:br/>
      </w:r>
    </w:p>
    <w:p>
      <w:pPr>
        <w:pStyle w:val="Normal"/>
      </w:pPr>
    </w:p>
    <w:p>
      <w:pPr>
        <w:pStyle w:val="Heading1"/>
      </w:pPr>
      <w:r>
        <w:t>Abstract</w:t>
      </w:r>
    </w:p>
    <w:p>
      <w:pPr>
        <w:pStyle w:val="Normal"/>
      </w:pPr>
      <w:r>
        <w:t>This work demonstrates that the cos(φ) and cos²(φ) decay patterns observed across numerous physical systems emerge not from domain-specific dynamics, but from intrinsic geometric properties of Euclidean space. Through both algebraic and geometric derivations, we show how angular alignment between two vectors modulates interaction strength via scalar projection. Linear interactions decay with cos(φ); quadratic interactions—such as energy, intensity, or overlap—decay with cos²(φ). These patterns are not empirical fits or domain-specific quirks, but natural consequences of projection geometry.</w:t>
      </w:r>
    </w:p>
    <w:p>
      <w:pPr>
        <w:pStyle w:val="Heading1"/>
      </w:pPr>
      <w:r>
        <w:t>I. Thesis</w:t>
      </w:r>
    </w:p>
    <w:p>
      <w:pPr>
        <w:pStyle w:val="Normal"/>
      </w:pPr>
      <w:r>
        <w:t>Whenever an interaction between two classical systems depends on rotational alignment, its strength modulates as:</w:t>
      </w:r>
    </w:p>
    <w:p>
      <w:pPr>
        <w:pStyle w:val="Normal"/>
      </w:pPr>
      <w:r>
        <w:t>cos(φ) for linearly projected relationships (e.g., force, shadow length)</w:t>
        <w:br/>
        <w:t>cos²(φ) for interactions depending on the square of that projection (e.g., intensity, energy, probability overlap)</w:t>
      </w:r>
    </w:p>
    <w:p>
      <w:pPr>
        <w:pStyle w:val="Normal"/>
      </w:pPr>
      <w:r>
        <w:t>These relationships arise directly from scalar projection and hold in any Euclidean system governed by directional modulation.</w:t>
      </w:r>
    </w:p>
    <w:p>
      <w:pPr>
        <w:pStyle w:val="Heading1"/>
      </w:pPr>
      <w:r>
        <w:t>II. Definitions and Domain</w:t>
      </w:r>
    </w:p>
    <w:p>
      <w:pPr>
        <w:pStyle w:val="Normal"/>
      </w:pPr>
      <w:r>
        <w:t>Let a and b be unit vectors in ℝ² or ℝ³ with angle φ between them. Define:</w:t>
      </w:r>
    </w:p>
    <w:p>
      <w:pPr>
        <w:pStyle w:val="Normal"/>
      </w:pPr>
      <w:r>
        <w:t>Scalar projection:</w:t>
        <w:br/>
        <w:t xml:space="preserve">   a ⋅ b = cos(φ)</w:t>
        <w:br/>
        <w:t>Quadratic projection (used in energy/intensity models):</w:t>
        <w:br/>
        <w:t xml:space="preserve">   (a ⋅ b)² = cos²(φ)</w:t>
      </w:r>
    </w:p>
    <w:p>
      <w:pPr>
        <w:pStyle w:val="Normal"/>
      </w:pPr>
      <w:r>
        <w:t>We restrict φ ∈ [0°, 90°] to match physical observables that are non-negative and symmetric, as both cos(φ) and cos²(φ) remain within [0, 1].</w:t>
      </w:r>
    </w:p>
    <w:p>
      <w:pPr>
        <w:pStyle w:val="Heading2"/>
      </w:pPr>
      <w:r>
        <w:t>II‑A. Angular Projection Lemma &amp; Corollary</w:t>
      </w:r>
    </w:p>
    <w:p>
      <w:r>
        <w:t>Lemma 1.  For any incident vector **u** and axis **ê**, transmitted intensity obeys I(θ) ∝ (**u**·**ê**)² = |**u**||**ê**|² cos² θ.</w:t>
      </w:r>
    </w:p>
    <w:p>
      <w:r>
        <w:t>Proof (algebraic).  Expand the dot product; squaring yields cos² θ.  Proof (geometric).  Project **u** onto **ê**; projected length dictates area/energy, whose square determines intensity.</w:t>
      </w:r>
    </w:p>
    <w:p>
      <w:r>
        <w:t>Corollary 1 (Normalization).  Under A3, ⟨cos² φ⟩ = (1/π)∫₀^π cos² φ dφ = ½, conserving ensemble energy.</w:t>
      </w:r>
    </w:p>
    <w:p>
      <w:pPr>
        <w:pStyle w:val="Heading1"/>
      </w:pPr>
      <w:r>
        <w:t>III. Algebraic Derivation</w:t>
      </w:r>
    </w:p>
    <w:p>
      <w:pPr>
        <w:pStyle w:val="Normal"/>
      </w:pPr>
      <w:r>
        <w:t>Let vector F represent a directional input (e.g., force or polarization), and vector X define the rotated axis or receiver.</w:t>
      </w:r>
    </w:p>
    <w:p>
      <w:pPr>
        <w:pStyle w:val="Normal"/>
      </w:pPr>
      <w:r>
        <w:t>Linear dependency (e.g., mechanical work):</w:t>
        <w:br/>
        <w:t xml:space="preserve">   W = |F||X|cos(φ) = F ⋅ X (as derived in classical mechanics texts [4], [3])</w:t>
      </w:r>
    </w:p>
    <w:p>
      <w:pPr>
        <w:pStyle w:val="Normal"/>
      </w:pPr>
      <w:r>
        <w:t>Quadratic dependency (e.g., wave intensity, overlapping areas):</w:t>
        <w:br/>
        <w:t xml:space="preserve">   I ∝ (F ⋅ X)² = cos²(φ) (common in optics and electromagnetism [1], [5], [7])</w:t>
      </w:r>
    </w:p>
    <w:p>
      <w:pPr>
        <w:pStyle w:val="Heading1"/>
      </w:pPr>
      <w:r>
        <w:t>IV. Geometric Derivation</w:t>
      </w:r>
    </w:p>
    <w:p>
      <w:pPr>
        <w:pStyle w:val="Normal"/>
      </w:pPr>
      <w:r>
        <w:t>Consider a capsule-shaped object (e.g., a pill or rod) of length L, lying flat on a surface. When rotated by angle φ away from the horizontal axis, its horizontal projection becomes:</w:t>
      </w:r>
    </w:p>
    <w:p>
      <w:pPr>
        <w:pStyle w:val="Normal"/>
      </w:pPr>
      <w:r>
        <w:t xml:space="preserve">   L_proj = L cos(φ)</w:t>
      </w:r>
    </w:p>
    <w:p>
      <w:pPr>
        <w:pStyle w:val="Normal"/>
      </w:pPr>
      <w:r>
        <w:t>This models systems where a fixed shape interacts with a slit, sensor, or boundary by geometric alignment.</w:t>
      </w:r>
    </w:p>
    <w:p>
      <w:pPr>
        <w:pStyle w:val="Normal"/>
      </w:pPr>
      <w:r>
        <w:t>Now suppose interaction strength depends on projected area (e.g., uniform field exposure or energy density). Then:</w:t>
      </w:r>
    </w:p>
    <w:p>
      <w:pPr>
        <w:pStyle w:val="Normal"/>
      </w:pPr>
      <w:r>
        <w:t xml:space="preserve">   Area_proj ∝ L_proj × h ∝ cos(φ)</w:t>
        <w:br/>
        <w:t xml:space="preserve">   If interaction scales with energy or density over this area:</w:t>
        <w:br/>
        <w:t xml:space="preserve">   V(φ) ∝ [L_proj × h]² ⇒ ∝ cos²(φ)</w:t>
      </w:r>
    </w:p>
    <w:p>
      <w:pPr>
        <w:pStyle w:val="Heading1"/>
      </w:pPr>
      <w:r>
        <w:t>V. Real-World Examples</w:t>
      </w:r>
    </w:p>
    <w:p>
      <w:pPr>
        <w:pStyle w:val="Normal"/>
      </w:pPr>
      <w:r>
        <w:t>Domain</w:t>
        <w:tab/>
        <w:t>Behavior</w:t>
        <w:tab/>
        <w:t>Dependency</w:t>
        <w:br/>
        <w:t>Mechanics</w:t>
        <w:tab/>
        <w:t>Work = F d cos(φ)</w:t>
        <w:tab/>
        <w:t>Linear [3], [4]</w:t>
        <w:br/>
        <w:t>Optics (Malus’ Law)</w:t>
        <w:tab/>
        <w:t>I = I₀ cos²(φ)</w:t>
        <w:tab/>
        <w:t>Quadratic [1], [5]</w:t>
        <w:br/>
        <w:t>Overlapping Apertures</w:t>
        <w:tab/>
        <w:t>Overlap area ∝ cos²(φ)</w:t>
        <w:tab/>
        <w:t>Quadratic [7]</w:t>
        <w:br/>
        <w:t>Antenna Radiation</w:t>
        <w:tab/>
        <w:t>Gain ∝ cos²(φ)</w:t>
        <w:tab/>
        <w:t>Quadratic [2], [6]</w:t>
        <w:br/>
        <w:t>Shadow Casting</w:t>
        <w:tab/>
        <w:t>Shadow length ∝ cos(φ)</w:t>
        <w:tab/>
        <w:t>Linear</w:t>
      </w:r>
    </w:p>
    <w:p>
      <w:pPr>
        <w:pStyle w:val="Normal"/>
      </w:pPr>
      <w:r>
        <w:t>Note: In shadow casting, the length of the shadow scales with cos(φ), while the blocked intensity (or illuminated area) may scale with cos²(φ) depending on detector geometry or system configuration.</w:t>
      </w:r>
    </w:p>
    <w:p>
      <w:pPr>
        <w:pStyle w:val="Heading1"/>
      </w:pPr>
      <w:r>
        <w:t>VI. Context and Limitations</w:t>
      </w:r>
    </w:p>
    <w:p>
      <w:pPr>
        <w:pStyle w:val="Normal"/>
      </w:pPr>
      <w:r>
        <w:t>This proof applies specifically to systems where:</w:t>
      </w:r>
    </w:p>
    <w:p>
      <w:pPr>
        <w:pStyle w:val="Normal"/>
      </w:pPr>
      <w:r>
        <w:t>• Interaction strength depends on the directional alignment of two components</w:t>
        <w:br/>
        <w:t>• Relationships are well-modeled by scalar projection or its square</w:t>
        <w:br/>
        <w:t>• The system exists in Euclidean space and allows continuous rotation</w:t>
      </w:r>
    </w:p>
    <w:p>
      <w:pPr>
        <w:pStyle w:val="Normal"/>
      </w:pPr>
      <w:r>
        <w:t>This does not apply to:</w:t>
        <w:br/>
        <w:t>• Inverse-square laws (e.g., gravity, radiation over distance)</w:t>
        <w:br/>
        <w:t>• Exponential decays (e.g., radioactive decay, capacitor discharge)</w:t>
        <w:br/>
        <w:t>• Systems with discontinuous alignment, non-Euclidean geometry, or non-projective interactions</w:t>
      </w:r>
    </w:p>
    <w:p>
      <w:pPr>
        <w:pStyle w:val="Normal"/>
      </w:pPr>
      <w:r>
        <w:t>Cos(φ) and cos²(φ) are not universal decay laws — they are the default angular modulation surfaces in rotation-aligned classical systems.</w:t>
      </w:r>
    </w:p>
    <w:p>
      <w:pPr>
        <w:pStyle w:val="Heading1"/>
      </w:pPr>
      <w:r>
        <w:t>VII. Pedagogical and Cross-Domain Relevance</w:t>
      </w:r>
    </w:p>
    <w:p>
      <w:pPr>
        <w:pStyle w:val="Normal"/>
      </w:pPr>
      <w:r>
        <w:t>This principle has high explanatory and instructional value, especially for:</w:t>
      </w:r>
    </w:p>
    <w:p>
      <w:pPr>
        <w:pStyle w:val="Normal"/>
      </w:pPr>
      <w:r>
        <w:t>• Linear Algebra: vector projection, basis decomposition</w:t>
        <w:br/>
        <w:t>• Classical Mechanics: force alignment, torque, work</w:t>
        <w:br/>
        <w:t>• Electromagnetic Theory: polarization, antenna design, radiative energy [2], [6], [7]</w:t>
        <w:br/>
        <w:t>• Engineering and Signal Processing: sensor orientation, directional gain</w:t>
      </w:r>
    </w:p>
    <w:p>
      <w:pPr>
        <w:pStyle w:val="Normal"/>
      </w:pPr>
      <w:r>
        <w:t>*Though cosine modulation appears in quantum contexts, including interference models, this work is entirely classical in origin and does not invoke quantum formalism [3].</w:t>
      </w:r>
    </w:p>
    <w:p>
      <w:pPr>
        <w:pStyle w:val="Heading1"/>
      </w:pPr>
      <w:r>
        <w:t>VIII. Conclusion</w:t>
      </w:r>
    </w:p>
    <w:p>
      <w:pPr>
        <w:pStyle w:val="Normal"/>
      </w:pPr>
      <w:r>
        <w:t>Cosine is not an arbitrary curve. It is the geometry of directional rotation.</w:t>
        <w:br/>
        <w:t>• cos(φ) arises when systems respond to linear projection</w:t>
        <w:br/>
        <w:t>• cos²(φ) emerges when output scales with squared projection — such as in energy, probability, or overlap</w:t>
      </w:r>
    </w:p>
    <w:p>
      <w:pPr>
        <w:pStyle w:val="Normal"/>
      </w:pPr>
      <w:r>
        <w:t>This is not a modeling artifact.</w:t>
        <w:br/>
        <w:t>It is the decay surface geometry demands.</w:t>
      </w:r>
    </w:p>
    <w:p>
      <w:pPr>
        <w:pStyle w:val="Heading1"/>
      </w:pPr>
      <w:r>
        <w:t>IX. Supplemental Foundations</w:t>
      </w:r>
    </w:p>
    <w:p>
      <w:pPr>
        <w:pStyle w:val="Heading2"/>
      </w:pPr>
      <w:r>
        <w:t>IX‑A. Assumptions &amp; Notation</w:t>
      </w:r>
    </w:p>
    <w:p>
      <w:pPr>
        <w:pStyle w:val="Normal"/>
      </w:pPr>
      <w:r>
        <w:t>A1 (Linear projection). Interaction strength between an incident vector **u** and filter axis **ê** is proportional to |**u**·**ê**|.</w:t>
      </w:r>
    </w:p>
    <w:p>
      <w:pPr>
        <w:pStyle w:val="Normal"/>
      </w:pPr>
      <w:r>
        <w:t>A2 (Energy → probability). For a quasi‑monochromatic pulse, the probability of transmission equals the fractional energy flux that survives the filter.</w:t>
      </w:r>
    </w:p>
    <w:p>
      <w:pPr>
        <w:pStyle w:val="Normal"/>
      </w:pPr>
      <w:r>
        <w:t>A3 (Uniform preparation). Native orientations φ of the ensemble are iid and uniform on [0, π].</w:t>
      </w:r>
    </w:p>
    <w:p>
      <w:pPr>
        <w:pStyle w:val="Normal"/>
      </w:pPr>
      <w:r>
        <w:t>A4 (No post‑filter distortion). Particles that pass one filter are not reshuffled before reaching a subsequent filter.</w:t>
      </w:r>
    </w:p>
    <w:p>
      <w:pPr>
        <w:pStyle w:val="Heading2"/>
      </w:pPr>
      <w:r>
        <w:t>IX‑B. Microscopic Derivation of P ∝ |cos φ|²</w:t>
      </w:r>
    </w:p>
    <w:p>
      <w:pPr>
        <w:pStyle w:val="Normal"/>
      </w:pPr>
      <w:r>
        <w:t>Consider an ideal linear polarizer constructed from N ≫ 1 parallel micro‑slits (width w ≪ λ). Decompose an incident electric field **E** = E₀(**û**) into longitudinal and transverse components relative to the slit axis **ê**. Only the longitudinal component passes, leaving amplitude E₀ cos φ. Since time‑averaged Poynting flux scales as |E|², the transmitted energy fraction is cos² φ.  Assuming ergodicity (A2), this energy fraction equals the single‑event probability of passage.</w:t>
      </w:r>
    </w:p>
    <w:p>
      <w:pPr>
        <w:pStyle w:val="Heading2"/>
      </w:pPr>
      <w:r>
        <w:t>IX‑D. Two‑Filter Coincidence Integral</w:t>
      </w:r>
    </w:p>
    <w:p>
      <w:pPr>
        <w:pStyle w:val="Normal"/>
      </w:pPr>
      <w:r>
        <w:t>Theorem 2.  For filters at θ₁ and θ₂ (Δ ≔ θ₂ − θ₁) under A1–A4,</w:t>
        <w:br/>
        <w:t xml:space="preserve">  P₊₊(Δ) = (1/π)∫₀^π cos² φ cos²(φ − Δ) dφ = ⅛ + ¼ cos² Δ.</w:t>
      </w:r>
    </w:p>
    <w:p>
      <w:pPr>
        <w:pStyle w:val="Normal"/>
      </w:pPr>
      <w:r>
        <w:t>Proof.  Write cos²x = ½(1 + cos 2x), expand, and integrate term‑wise. Check: Δ = 22.5° ⇒ P₊₊ ≈ 0.383 (classical) vs 0.426 (quantum).</w:t>
      </w:r>
    </w:p>
    <w:p>
      <w:pPr>
        <w:pStyle w:val="Heading2"/>
      </w:pPr>
      <w:r>
        <w:t>IX‑E. Uniqueness &amp; Dimensional Disclaimer</w:t>
      </w:r>
    </w:p>
    <w:p>
      <w:pPr>
        <w:pStyle w:val="Normal"/>
      </w:pPr>
      <w:r>
        <w:t>Smooth, rotation‑invariant second‑order scalars built from **u**, **ê** reduce to (**u**·**ê**)² up to a constant; hence cos² θ is the unique envelope consistent with quadratic detection and A1–A4.  Illustrations use ℝ² for clarity; in ℝ³, projection algebra is identical, with 'projected area' becoming 'projected solid angle.'</w:t>
      </w:r>
    </w:p>
    <w:p>
      <w:pPr>
        <w:pStyle w:val="Heading2"/>
      </w:pPr>
      <w:r>
        <w:t>IX‑F. Conclusion: Why cos² θ Persists</w:t>
      </w:r>
    </w:p>
    <w:p>
      <w:pPr>
        <w:pStyle w:val="Normal"/>
      </w:pPr>
      <w:r>
        <w:t>Projection is linear, detectors are quadratic, and isotropic ensembles average to ½—these facts lock cos² θ into place across classical physics. Where textbooks state the law, this thesis shows *why* it emerges and specifies exactly when it applies, supplying a reusable template for optics, antenna theory, and any field governed by directional modulation.</w:t>
      </w:r>
    </w:p>
    <w:p>
      <w:pPr>
        <w:pStyle w:val="Heading1"/>
      </w:pPr>
      <w:r>
        <w:t>References</w:t>
      </w:r>
    </w:p>
    <w:p>
      <w:pPr>
        <w:pStyle w:val="Normal"/>
      </w:pPr>
      <w:r>
        <w:t>[1] Malus, Étienne-Louis (1809). 'Sur une propriété de la lumière réfléchie'. Mémoires de l’Institut de France.</w:t>
      </w:r>
    </w:p>
    <w:p>
      <w:pPr>
        <w:pStyle w:val="Normal"/>
      </w:pPr>
      <w:r>
        <w:t>[2] Griffiths, David J. *Introduction to Electrodynamics*, 4th Edition. Pearson, 2012.</w:t>
      </w:r>
    </w:p>
    <w:p>
      <w:pPr>
        <w:pStyle w:val="Normal"/>
      </w:pPr>
      <w:r>
        <w:t>[3] Feynman, R. *The Feynman Lectures on Physics*. Addison-Wesley, 1964.</w:t>
      </w:r>
    </w:p>
    <w:p>
      <w:pPr>
        <w:pStyle w:val="Normal"/>
      </w:pPr>
      <w:r>
        <w:t>[4] Tipler, Paul A., and Gene Mosca. *Physics for Scientists and Engineers*. W.H. Freeman, 2007.</w:t>
      </w:r>
    </w:p>
    <w:p>
      <w:pPr>
        <w:pStyle w:val="Normal"/>
      </w:pPr>
      <w:r>
        <w:t>[5] Hecht, Eugene. *Optics*, 5th Edition. Pearson, 2016.</w:t>
      </w:r>
    </w:p>
    <w:p>
      <w:pPr>
        <w:pStyle w:val="Normal"/>
      </w:pPr>
      <w:r>
        <w:t>[6] Jackson, J.D. *Classical Electrodynamics*, 3rd Edition. Wiley, 1999.</w:t>
      </w:r>
    </w:p>
    <w:p>
      <w:pPr>
        <w:pStyle w:val="Normal"/>
      </w:pPr>
      <w:r>
        <w:t>[7] Purcell, Edward M., and David J. Morin. *Electricity and Magnetism*, 3rd Edition. Cambridge University Press, 2013.</w:t>
      </w:r>
    </w:p>
    <w:p>
      <w:pPr>
        <w:pStyle w:val="Normal"/>
      </w:pP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DRAFT v0.1 – 2025-07-03</w:t>
      <w:br/>
      <w:t>Not peer-reviewed. Do not cite or distribute excerpts without the author’s permission.</w:t>
      <w:b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