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Three Foundational Theorems for Classical Benchmarks in Quantum Contextuality</w:t>
      </w:r>
    </w:p>
    <w:p>
      <w:pPr>
        <w:jc w:val="center"/>
      </w:pPr>
      <w:r>
        <w:t>Author: Iwl Robran</w:t>
      </w:r>
    </w:p>
    <w:p>
      <w:pPr>
        <w:jc w:val="center"/>
      </w:pPr>
      <w:r>
        <w:t>June 2025</w:t>
      </w:r>
    </w:p>
    <w:p>
      <w:r>
        <w:br w:type="page"/>
      </w:r>
    </w:p>
    <w:p>
      <w:pPr>
        <w:pStyle w:val="Heading1"/>
      </w:pPr>
      <w:r>
        <w:t>Executive Abstract</w:t>
      </w:r>
    </w:p>
    <w:p>
      <w:r>
        <w:t>This brief consolidates three complementary results that together frame an optimal local‑realist benchmark for reproducing flagship quantum‑optics statistics: the Expectation‑Gap Principle (EGP), the Classical‑Ontic Inflation Theorem (COIT), and the Contextual‑Filter Law (CFL). EGP explains why Boolean (non‑contextual) expectations fail; COIT quantifies the minimum extra descriptive weight any successful hidden‑variable model must carry; CFL provides the minimal dynamical rule that inevitably yields the outward appearance of ‘collapse + re‑orientation’.  Taken together they demonstrate that outcome‑dependence and a single additional hidden dimension are not ad‑hoc concessions but the mathematically mandated cost of locality and realism.</w:t>
      </w:r>
    </w:p>
    <w:p>
      <w:pPr>
        <w:pStyle w:val="Heading1"/>
      </w:pPr>
      <w:r>
        <w:t>1  Expectation‑Gap Principle (EGP)</w:t>
      </w:r>
    </w:p>
    <w:p>
      <w:pPr>
        <w:pStyle w:val="Heading2"/>
      </w:pPr>
      <w:r>
        <w:t>1.1  Definitions</w:t>
      </w:r>
    </w:p>
    <w:p>
      <w:r>
        <w:t>• Measurement cover  𝓒 = {Cᵢ}: each Cᵢ is a set of jointly measurable observables.</w:t>
        <w:br/>
        <w:t>• Empirical model  e assigns probability tables P(o|Cᵢ).</w:t>
        <w:br/>
        <w:t>• Global joint section  F exists iff there is a single random variable whose marginals match all P(o|Cᵢ).</w:t>
      </w:r>
    </w:p>
    <w:p>
      <w:pPr>
        <w:pStyle w:val="Heading2"/>
      </w:pPr>
      <w:r>
        <w:t>1.2  Theorem (EGP)</w:t>
      </w:r>
    </w:p>
    <w:p>
      <w:r>
        <w:t>If no global joint section exists for 𝓒, then the empirical model necessarily violates at least one non‑contextual inequality (e.g. CHSH ≤ 2, KCBS ≤ 3).  Conversely, satisfaction of every such inequality is equivalent to the existence of a global section.  [Fine 1982; Kochen‑Specker 1967; Abramsky‑Brandenburger 2011.]</w:t>
      </w:r>
    </w:p>
    <w:p>
      <w:pPr>
        <w:pStyle w:val="Heading2"/>
      </w:pPr>
      <w:r>
        <w:t>1.3  Proof (sketch)</w:t>
      </w:r>
    </w:p>
    <w:p>
      <w:r>
        <w:t>Assume a global section F exists.  Every observable outcome becomes a deterministic function of a single hidden variable λ, so each joint table is a classical marginal over λ; linear programming then enforces all Bell‑type or KS‑type inequalities.  Conversely, if even one inequality is violated, the convex polytope defined by deterministic assignments is exited, and no global section can be constructed.  ∎</w:t>
      </w:r>
    </w:p>
    <w:p>
      <w:pPr>
        <w:pStyle w:val="Heading1"/>
      </w:pPr>
      <w:r>
        <w:t>2  Classical‑Ontic Inflation Theorem (COIT)</w:t>
      </w:r>
    </w:p>
    <w:p>
      <w:pPr>
        <w:pStyle w:val="Heading2"/>
      </w:pPr>
      <w:r>
        <w:t>2.1  Dimension and Complexity Bounds</w:t>
      </w:r>
    </w:p>
    <w:p>
      <w:r>
        <w:t>For a non‑trivial d‑level quantum system, any local, measurement‑independent hidden‑variable model that reproduces all projective statistics requires an ontic space Ω with:</w:t>
        <w:br/>
        <w:t xml:space="preserve">   dim(Ω) ≥ d² − 1 (Montina 2009)</w:t>
        <w:br/>
        <w:t xml:space="preserve">   |Ω| ≥ L^{|𝓜|} for a finite measurement set 𝓜 (Hardy ‘excess baggage’).</w:t>
        <w:br/>
        <w:t xml:space="preserve">   Expected Kolmogorov code‑length K(λ) = Ω(4ⁿ) for n qubits (Montina 2011).</w:t>
        <w:br/>
        <w:t>Thus the descriptive overhead grows at least exponentially with system size, while the Hilbert‑space description grows only quadratically (pure states) or linearly in qubit number (ket syntax).</w:t>
      </w:r>
    </w:p>
    <w:p>
      <w:pPr>
        <w:pStyle w:val="Heading2"/>
      </w:pPr>
      <w:r>
        <w:t>2.2  Implication</w:t>
      </w:r>
    </w:p>
    <w:p>
      <w:r>
        <w:t>Any successful local realist that violates Bell/KCBS must carry additional parameters.  The r(u) field of the JPM construction adds exactly one real dimension for a qubit, saturating the COIT lower bound and therefore qualifying as complexity‑minimal.</w:t>
      </w:r>
    </w:p>
    <w:p>
      <w:pPr>
        <w:pStyle w:val="Heading1"/>
      </w:pPr>
      <w:r>
        <w:t>3  Contextual‑Filter Law (CFL)</w:t>
      </w:r>
    </w:p>
    <w:p>
      <w:pPr>
        <w:pStyle w:val="Heading2"/>
      </w:pPr>
      <w:r>
        <w:t>3.1  Model Premises</w:t>
      </w:r>
    </w:p>
    <w:p>
      <w:r>
        <w:t>1  Hidden orientation φ ∈ [0,π).</w:t>
        <w:br/>
        <w:t>2  Twin sources emit particles sharing φ.</w:t>
        <w:br/>
        <w:t>3  Binary angular filter at setting θ passes iff |cos(φ − θ)|² &gt; R with R ∼ U(0,1).</w:t>
        <w:br/>
        <w:t>4  On PASS, the particle overwrites its stored orientation: φ ← θ.</w:t>
      </w:r>
    </w:p>
    <w:p>
      <w:pPr>
        <w:pStyle w:val="Heading2"/>
      </w:pPr>
      <w:r>
        <w:t>3.2  Theorem (CFL)</w:t>
      </w:r>
    </w:p>
    <w:p>
      <w:r>
        <w:t>Given premises 1–4 and locality, an external observer who only records filter outcomes must describe each PASS event as (i) a ‘collapse’ to the new effective state φ = θ and (ii) a ‘re‑orientation’ that produces conditional probabilities cos²(θ − θ′) for any subsequent filter at θ′.  For twin pairs this directly yields CHSH = 2√2 and KCBS = 5 cos(π/5).</w:t>
      </w:r>
    </w:p>
    <w:p>
      <w:pPr>
        <w:pStyle w:val="Heading2"/>
      </w:pPr>
      <w:r>
        <w:t>3.3  Proof (sketch)</w:t>
      </w:r>
    </w:p>
    <w:p>
      <w:r>
        <w:t>Single wing: conditioning on PASS produces posterior δ(φ − θ); a second filter at θ′ returns cos²(θ − θ′).  Twin wing: shared φ plus independent local thresholds reproduce the quantum correlation table; algebra matches Tsirelson saturation.  Without the overwrite rule the model regains a global σ‑algebra and collapses to CHSH ≤ 2, contradicting experiment.  Hence overwrite is necessary and sufficient.  ∎</w:t>
      </w:r>
    </w:p>
    <w:p>
      <w:pPr>
        <w:pStyle w:val="Heading1"/>
      </w:pPr>
      <w:r>
        <w:t>4  Synthesis for a Classical Benchmark</w:t>
      </w:r>
    </w:p>
    <w:p>
      <w:r>
        <w:t>EGP mandates contextual response functions; COIT quantifies the minimal ontic overhead; CFL supplies the micro‑update rule that realises both with one additional real dimension.  Together they establish the JPM+r(u) architecture as the tightest currently known local‑realist benchmark capable of matching flagship quantum statistics.</w:t>
      </w:r>
    </w:p>
    <w:p>
      <w:pPr>
        <w:pStyle w:val="Heading1"/>
      </w:pPr>
      <w:r>
        <w:t>References</w:t>
      </w:r>
    </w:p>
    <w:p>
      <w:r>
        <w:t>Fine, A. “Hidden Variables, Joint Probability, and the Bell Inequalities.” Phys. Rev. Lett. 48 (1982): 291–95.</w:t>
      </w:r>
    </w:p>
    <w:p>
      <w:r>
        <w:t>Kochen, S. &amp; Specker, E. P. “The Problem of Hidden Variables in Quantum Mechanics.” J. Math. Mech. 17 (1967): 59–87.</w:t>
      </w:r>
    </w:p>
    <w:p>
      <w:r>
        <w:t>Abramsky, S. &amp; Brandenburger, A. “The Sheaf-Theoretic Structure of Non‑Locality and Contextuality.” New J. Phys. 13 (2011): 113036.</w:t>
      </w:r>
    </w:p>
    <w:p>
      <w:r>
        <w:t>Montina, A. “Exponential Complexity and Ontological Theories of Quantum Mechanics.” Phys. Rev. A 77 (2008): 022104.</w:t>
      </w:r>
    </w:p>
    <w:p>
      <w:r>
        <w:t>Montina, A. “State-Space Dimension of Hidden Variables Theories.” Phys. Rev. Lett. 103 (2009): 200402.</w:t>
      </w:r>
    </w:p>
    <w:p>
      <w:r>
        <w:t>Hardy, L. “Quantum Theory From Five Reasonable Axioms.” arXiv:quant-ph/0101012 (2001).</w:t>
      </w:r>
    </w:p>
    <w:p>
      <w:r>
        <w:t>Montina, A. “Epistemic View of Quantum States and Communication Complexity of Quantum Channels.” Phys. Rev. A 83 (2011): 032107.</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DRAFT v0.1 – 2025-07-03</w:t>
      <w:br/>
      <w:t>Not peer-reviewed. Do not cite or distribute excerpts without the author’s permission.</w:t>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