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宋体" w:hAnsi="宋体" w:eastAsia="宋体" w:cs="宋体"/>
          <w:kern w:val="16"/>
          <w:sz w:val="19"/>
          <w:szCs w:val="19"/>
          <w:lang w:val="en-US" w:eastAsia="zh-CN" w:bidi="ar-SA"/>
        </w:rPr>
      </w:pPr>
    </w:p>
    <w:p>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pPr>
        <w:pStyle w:val="3"/>
        <w:keepLines w:val="0"/>
        <w:pageBreakBefore w:val="0"/>
        <w:widowControl w:val="0"/>
        <w:kinsoku/>
        <w:wordWrap/>
        <w:overflowPunct/>
        <w:topLinePunct w:val="0"/>
        <w:bidi w:val="0"/>
        <w:snapToGrid/>
        <w:spacing w:line="240" w:lineRule="auto"/>
        <w:ind w:left="0" w:leftChars="0" w:firstLine="0" w:firstLineChars="0"/>
        <w:jc w:val="both"/>
        <w:textAlignment w:val="auto"/>
        <w:rPr>
          <w:rFonts w:hint="default" w:ascii="Times New Roman" w:hAnsi="Times New Roman" w:cs="Times New Roman"/>
          <w:sz w:val="19"/>
          <w:szCs w:val="19"/>
          <w:lang w:val="en-US" w:eastAsia="zh-CN"/>
        </w:rPr>
      </w:pPr>
    </w:p>
    <w:p>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hint="eastAsia"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u</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hint="eastAsia" w:ascii="Cambria Math" w:hAnsi="Cambria Math" w:cs="Times New Roman"/>
                <w:i w:val="0"/>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Ε</m:t>
            </m:r>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i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j</m:t>
            </m:r>
            <m:ctrlPr>
              <w:rPr>
                <w:rFonts w:hint="eastAsia" w:ascii="Cambria Math" w:hAnsi="Cambria Math" w:cs="Times New Roman"/>
                <w:i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eastAsia" w:ascii="Cambria Math" w:hAnsi="Cambria Math" w:cs="Times New Roman"/>
                <w:i w:val="0"/>
                <w:kern w:val="16"/>
                <w:sz w:val="19"/>
                <w:szCs w:val="19"/>
                <w:lang w:val="en-US" w:eastAsia="zh-CN"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m:sty m:val="p"/>
          </m:rPr>
          <w:rPr>
            <w:rFonts w:hint="eastAsia" w:ascii="Cambria Math" w:hAnsi="Cambria Math" w:cs="Times New Roman"/>
            <w:kern w:val="16"/>
            <w:sz w:val="19"/>
            <w:szCs w:val="19"/>
            <w:lang w:val="en-US" w:eastAsia="zh-CN" w:bidi="ar-SA"/>
          </w:rPr>
          <m:t>φ</m:t>
        </m:r>
        <m:d>
          <m:dPr>
            <m:ctrlPr>
              <w:rPr>
                <w:rFonts w:hint="eastAsia" w:ascii="Cambria Math" w:hAnsi="Cambria Math" w:cs="Times New Roman"/>
                <w:i w:val="0"/>
                <w:kern w:val="16"/>
                <w:sz w:val="19"/>
                <w:szCs w:val="19"/>
                <w:lang w:val="en-US" w:eastAsia="zh-CN" w:bidi="ar-SA"/>
              </w:rPr>
            </m:ctrlPr>
          </m:dPr>
          <m:e>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w:t>
      </w:r>
      <w:r>
        <w:rPr>
          <w:rFonts w:hint="default" w:hAnsi="Cambria Math"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m:sty m:val="p"/>
          </m:rPr>
          <w:rPr>
            <w:rFonts w:hint="eastAsia" w:ascii="Cambria Math" w:hAnsi="Cambria Math" w:cs="Times New Roman"/>
            <w:kern w:val="16"/>
            <w:sz w:val="19"/>
            <w:szCs w:val="19"/>
            <w:lang w:val="en-US" w:eastAsia="zh-CN" w:bidi="ar-SA"/>
          </w:rPr>
          <m:t>ϑ</m:t>
        </m:r>
        <m:d>
          <m:dPr>
            <m:ctrlPr>
              <w:rPr>
                <w:rFonts w:hint="eastAsia" w:ascii="Cambria Math" w:hAnsi="Cambria Math" w:cs="Times New Roman"/>
                <w:i w:val="0"/>
                <w:kern w:val="16"/>
                <w:sz w:val="19"/>
                <w:szCs w:val="19"/>
                <w:lang w:val="en-US" w:eastAsia="zh-CN" w:bidi="ar-SA"/>
              </w:rPr>
            </m:ctrlPr>
          </m:dPr>
          <m:e>
            <m:r>
              <m:rPr>
                <m:sty m:val="p"/>
              </m:rPr>
              <w:rPr>
                <w:rFonts w:hint="eastAsia" w:ascii="Cambria Math" w:hAnsi="Cambria Math" w:cs="Times New Roman"/>
                <w:kern w:val="16"/>
                <w:sz w:val="19"/>
                <w:szCs w:val="19"/>
                <w:lang w:val="en-US" w:eastAsia="zh-CN" w:bidi="ar-SA"/>
              </w:rPr>
              <m:t>φ</m:t>
            </m:r>
            <m:ctrlPr>
              <w:rPr>
                <w:rFonts w:hint="eastAsia" w:ascii="Cambria Math" w:hAnsi="Cambria Math" w:cs="Times New Roman"/>
                <w:i w:val="0"/>
                <w:kern w:val="16"/>
                <w:sz w:val="19"/>
                <w:szCs w:val="19"/>
                <w:lang w:val="en-US" w:eastAsia="zh-CN" w:bidi="ar-SA"/>
              </w:rPr>
            </m:ctrlPr>
          </m:e>
        </m:d>
      </m:oMath>
      <w:r>
        <w:rPr>
          <w:rFonts w:hint="eastAsia" w:hAnsi="Cambria Math" w:cs="Times New Roman"/>
          <w:i w:val="0"/>
          <w:kern w:val="16"/>
          <w:sz w:val="19"/>
          <w:szCs w:val="19"/>
          <w:lang w:val="en-US" w:eastAsia="zh-CN" w:bidi="ar-SA"/>
        </w:rPr>
        <w:t>的具体计算显然更具挑战性。</w:t>
      </w:r>
    </w:p>
    <w:p>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w:t>
      </w:r>
      <w:r>
        <w:rPr>
          <w:rFonts w:ascii="Times New Roman" w:hAnsi="Times New Roman"/>
          <w:smallCaps w:val="0"/>
        </w:rPr>
        <w:t>方案的设计</w:t>
      </w:r>
    </w:p>
    <w:p>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4.1*******方案概述</w:t>
      </w:r>
    </w:p>
    <w:p>
      <w:pPr>
        <w:pStyle w:val="3"/>
        <w:rPr>
          <w:rFonts w:hint="eastAsia"/>
          <w:lang w:val="en-US" w:eastAsia="zh-CN"/>
        </w:rPr>
      </w:pPr>
    </w:p>
    <w:p>
      <w:pPr>
        <w:autoSpaceDE w:val="0"/>
        <w:autoSpaceDN w:val="0"/>
        <w:adjustRightInd w:val="0"/>
        <w:jc w:val="center"/>
        <w:rPr>
          <w:rFonts w:ascii="Times New Roman" w:hAnsi="Times New Roman"/>
          <w:b/>
          <w:sz w:val="18"/>
          <w:szCs w:val="18"/>
          <w:lang w:eastAsia="zh-CN"/>
        </w:rPr>
      </w:pPr>
      <w:r>
        <w:rPr>
          <w:rFonts w:ascii="Times New Roman" w:hAnsi="Times New Roman"/>
          <w:b/>
          <w:sz w:val="18"/>
          <w:szCs w:val="18"/>
          <w:lang w:eastAsia="zh-CN"/>
        </w:rPr>
        <w:t>表格1</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常用名词</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4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6" w:space="0"/>
              <w:left w:val="nil"/>
              <w:bottom w:val="single" w:color="auto" w:sz="4" w:space="0"/>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名词</w:t>
            </w:r>
          </w:p>
        </w:tc>
        <w:tc>
          <w:tcPr>
            <w:tcW w:w="4347" w:type="dxa"/>
            <w:tcBorders>
              <w:top w:val="single" w:color="auto" w:sz="6" w:space="0"/>
              <w:left w:val="nil"/>
              <w:bottom w:val="single" w:color="auto" w:sz="4" w:space="0"/>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default" w:ascii="Times New Roman" w:hAnsi="Times New Roman"/>
                <w:b w:val="0"/>
                <w:bCs/>
                <w:iCs/>
                <w:color w:val="000000"/>
                <w:sz w:val="19"/>
                <w:szCs w:val="19"/>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34" w:type="dxa"/>
            <w:tcBorders>
              <w:top w:val="single" w:color="auto" w:sz="4" w:space="0"/>
              <w:left w:val="nil"/>
              <w:bottom w:val="nil"/>
              <w:right w:val="nil"/>
            </w:tcBorders>
            <w:vAlign w:val="top"/>
          </w:tcPr>
          <w:p>
            <w:pPr>
              <w:jc w:val="center"/>
              <w:rPr>
                <w:rFonts w:hint="default" w:ascii="Times New Roman" w:hAnsi="Times New Roman" w:eastAsia="宋体" w:cs="Times New Roman"/>
                <w:kern w:val="16"/>
                <w:sz w:val="18"/>
                <w:szCs w:val="18"/>
                <w:lang w:val="en-US" w:eastAsia="zh-CN" w:bidi="ar-SA"/>
              </w:rPr>
            </w:pPr>
            <w:r>
              <w:rPr>
                <w:rFonts w:hint="eastAsia" w:ascii="Times New Roman" w:hAnsi="Times New Roman"/>
                <w:b w:val="0"/>
                <w:bCs/>
                <w:iCs/>
                <w:color w:val="000000"/>
                <w:sz w:val="19"/>
                <w:szCs w:val="19"/>
                <w:lang w:val="en-US" w:eastAsia="zh-CN"/>
              </w:rPr>
              <w:t>报</w:t>
            </w:r>
            <w:r>
              <w:rPr>
                <w:rFonts w:hint="eastAsia" w:ascii="Times New Roman" w:hAnsi="Times New Roman"/>
                <w:b w:val="0"/>
                <w:bCs/>
                <w:iCs/>
                <w:color w:val="000000"/>
                <w:sz w:val="19"/>
                <w:szCs w:val="19"/>
                <w:lang w:val="en-US" w:eastAsia="zh-CN"/>
              </w:rPr>
              <w:t>酬</w:t>
            </w:r>
          </w:p>
        </w:tc>
        <w:tc>
          <w:tcPr>
            <w:tcW w:w="4347" w:type="dxa"/>
            <w:tcBorders>
              <w:top w:val="single" w:color="auto" w:sz="4" w:space="0"/>
              <w:left w:val="nil"/>
              <w:bottom w:val="nil"/>
              <w:right w:val="nil"/>
            </w:tcBorders>
            <w:vAlign w:val="top"/>
          </w:tcPr>
          <w:p>
            <w:pPr>
              <w:rPr>
                <w:rFonts w:hint="default" w:ascii="Times New Roman" w:hAnsi="Times New Roman" w:eastAsia="宋体" w:cs="Times New Roman"/>
                <w:kern w:val="16"/>
                <w:sz w:val="18"/>
                <w:szCs w:val="18"/>
                <w:lang w:val="en-US" w:eastAsia="zh-CN" w:bidi="ar-SA"/>
              </w:rPr>
            </w:pPr>
            <w:r>
              <w:rPr>
                <w:rFonts w:hint="eastAsia" w:ascii="Times New Roman" w:hAnsi="Times New Roman" w:cs="Times New Roman"/>
                <w:kern w:val="16"/>
                <w:sz w:val="18"/>
                <w:szCs w:val="18"/>
                <w:lang w:val="en-US" w:eastAsia="zh-CN" w:bidi="ar-SA"/>
              </w:rPr>
              <w:t>平台对工人完成任务后的物质反馈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pPr>
              <w:keepNext w:val="0"/>
              <w:keepLines w:val="0"/>
              <w:pageBreakBefore w:val="0"/>
              <w:widowControl w:val="0"/>
              <w:kinsoku/>
              <w:wordWrap/>
              <w:overflowPunct/>
              <w:topLinePunct w:val="0"/>
              <w:autoSpaceDE w:val="0"/>
              <w:autoSpaceDN w:val="0"/>
              <w:bidi w:val="0"/>
              <w:adjustRightInd w:val="0"/>
              <w:snapToGrid/>
              <w:spacing w:line="48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信任度</w:t>
            </w:r>
          </w:p>
        </w:tc>
        <w:tc>
          <w:tcPr>
            <w:tcW w:w="4347"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平台基于以往数据分析对工人感知任务数据质量的评估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质量等级</w:t>
            </w:r>
          </w:p>
        </w:tc>
        <w:tc>
          <w:tcPr>
            <w:tcW w:w="4347"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val="0"/>
                <w:iCs/>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平台对所得数据分析获得，用于评估工人数据质量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覆盖</w:t>
            </w:r>
          </w:p>
        </w:tc>
        <w:tc>
          <w:tcPr>
            <w:tcW w:w="4347"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Cambria Math" w:hAnsi="Cambria Math" w:cs="Times New Roman"/>
                <w:b w:val="0"/>
                <w:i/>
                <w:color w:val="000000"/>
                <w:kern w:val="16"/>
                <w:sz w:val="19"/>
                <w:szCs w:val="19"/>
                <w:lang w:val="en-US" w:eastAsia="zh-CN" w:bidi="ar-SA"/>
              </w:rPr>
            </w:pPr>
            <w:r>
              <w:rPr>
                <w:rFonts w:hint="eastAsia" w:ascii="Cambria Math" w:hAnsi="Cambria Math" w:cs="Times New Roman"/>
                <w:b w:val="0"/>
                <w:i w:val="0"/>
                <w:iCs/>
                <w:color w:val="000000"/>
                <w:kern w:val="16"/>
                <w:sz w:val="19"/>
                <w:szCs w:val="19"/>
                <w:lang w:val="en-US" w:eastAsia="zh-CN" w:bidi="ar-SA"/>
              </w:rPr>
              <w:t>感知任务中产生有效数据的任务数量或空时分布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nil"/>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single" w:color="auto" w:sz="6" w:space="0"/>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c>
          <w:tcPr>
            <w:tcW w:w="4347" w:type="dxa"/>
            <w:tcBorders>
              <w:top w:val="nil"/>
              <w:left w:val="nil"/>
              <w:bottom w:val="single" w:color="auto" w:sz="6" w:space="0"/>
              <w:right w:val="nil"/>
            </w:tcBorders>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default" w:ascii="Cambria Math" w:hAnsi="Cambria Math" w:cs="Times New Roman"/>
                <w:b w:val="0"/>
                <w:i/>
                <w:color w:val="000000"/>
                <w:kern w:val="16"/>
                <w:sz w:val="19"/>
                <w:szCs w:val="19"/>
                <w:lang w:val="en-US" w:eastAsia="zh-CN" w:bidi="ar-SA"/>
              </w:rPr>
            </w:pPr>
          </w:p>
        </w:tc>
      </w:tr>
    </w:tbl>
    <w:p>
      <w:pPr>
        <w:pStyle w:val="3"/>
        <w:rPr>
          <w:rFonts w:hint="default"/>
          <w:lang w:val="en-US" w:eastAsia="zh-CN"/>
        </w:rPr>
      </w:pPr>
    </w:p>
    <w:p>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如前文所述，为修正改良现有的工人质量理想化的MCS模型，本文引入了工人信任度概念来提高与现实情况的拟合精确度，进而推进MCS模型优化两大核心目标：提高数据获取质量、降低数据获取成本。在核心目标优化同时，往往伴随数据覆盖广度拓展、工人数据采集效率提高、信任工人覆盖度提高、非信任工人分辨能力提高、工人任务积极性提高等。</w:t>
      </w:r>
    </w:p>
    <w:p>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在基础MCS模型中，平台与工人交互过程如下：（1）平台接受数据需求者任务请求（2）平台向工人发布任务信息。（3）工人自行选择若干任务，并向平台提供相关数据和承诺。（4）平台接受工人提交任务集合，利用工人信息、信任度等参数计算进行任务分配，完成对工人的任务发布。（5）工人接受任务通知。（6）工人完成数据收集任务并提交数据。（7）平台根据工人提交的数据计算报酬并更新工人信任度。</w:t>
      </w:r>
    </w:p>
    <w:p>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为实现目标优化，本文在平台与工人7个交互过程中，提出并且实现四种改良方案，概述为：（1）任务分配：工人向平台提供任务信息集合后，为保证数据质量、拓展覆盖广度，平台对信任工人和非信任工人分别进行任务分配。（2）工人选择：在工人任务选择重合时，依据可靠方案对每位工人的报价、承诺质量和移动距离等参数进行分析，做出优选。（3）报酬计算：工人完成感知任务并提交数据，平台从基础报酬和额外报酬两方面进行反馈，二者分别为工人报价、数据准确度等级的函数映射。（4）信任度更新：平台依据可行方案，对工人实际提交数据质量和承诺数据质量，对信任工人和非信任工人进行信任度更新，实现工人信任度动态化、工人质量数字化。</w:t>
      </w:r>
    </w:p>
    <w:p>
      <w:pPr>
        <w:pStyle w:val="3"/>
        <w:ind w:firstLine="429" w:firstLineChars="226"/>
        <w:rPr>
          <w:rFonts w:hint="default" w:ascii="Palatino" w:hAnsi="Cambria Math" w:eastAsia="宋体" w:cs="Times New Roman"/>
          <w:i w:val="0"/>
          <w:kern w:val="16"/>
          <w:sz w:val="19"/>
          <w:szCs w:val="19"/>
          <w:lang w:val="en-US" w:eastAsia="zh-CN" w:bidi="ar-SA"/>
        </w:rPr>
      </w:pPr>
    </w:p>
    <w:p>
      <w:pPr>
        <w:autoSpaceDE w:val="0"/>
        <w:autoSpaceDN w:val="0"/>
        <w:adjustRightInd w:val="0"/>
        <w:jc w:val="center"/>
        <w:rPr>
          <w:rFonts w:ascii="Times New Roman" w:hAnsi="Times New Roman"/>
          <w:b/>
          <w:sz w:val="19"/>
          <w:szCs w:val="19"/>
          <w:lang w:eastAsia="zh-CN"/>
        </w:rPr>
      </w:pPr>
      <w:r>
        <w:rPr>
          <w:rFonts w:ascii="Times New Roman" w:hAnsi="Times New Roman"/>
          <w:b/>
          <w:sz w:val="18"/>
          <w:szCs w:val="18"/>
          <w:lang w:eastAsia="zh-CN"/>
        </w:rPr>
        <w:t>表2</w:t>
      </w:r>
      <w:r>
        <w:rPr>
          <w:rFonts w:hint="eastAsia" w:ascii="Times New Roman" w:hAnsi="Times New Roman"/>
          <w:b/>
          <w:sz w:val="18"/>
          <w:szCs w:val="18"/>
          <w:lang w:eastAsia="zh-CN"/>
        </w:rPr>
        <w:t xml:space="preserve"> </w:t>
      </w:r>
      <w:r>
        <w:rPr>
          <w:rFonts w:ascii="Times New Roman" w:hAnsi="Times New Roman"/>
          <w:bCs/>
          <w:sz w:val="18"/>
          <w:szCs w:val="18"/>
          <w:lang w:eastAsia="zh-CN"/>
        </w:rPr>
        <w:t>常用符号</w:t>
      </w:r>
    </w:p>
    <w:tbl>
      <w:tblPr>
        <w:tblStyle w:val="43"/>
        <w:tblW w:w="0" w:type="auto"/>
        <w:jc w:val="center"/>
        <w:tblLayout w:type="fixed"/>
        <w:tblCellMar>
          <w:top w:w="0" w:type="dxa"/>
          <w:left w:w="108" w:type="dxa"/>
          <w:bottom w:w="0" w:type="dxa"/>
          <w:right w:w="108" w:type="dxa"/>
        </w:tblCellMar>
      </w:tblPr>
      <w:tblGrid>
        <w:gridCol w:w="1296"/>
        <w:gridCol w:w="3723"/>
      </w:tblGrid>
      <w:tr>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p>
                  <m:sSupPr>
                    <m:ctrlPr>
                      <w:rPr>
                        <w:rFonts w:ascii="Cambria Math" w:hAnsi="Cambria Math" w:cs="Times New Roman"/>
                        <w:b w:val="0"/>
                        <w:i/>
                        <w:color w:val="000000"/>
                        <w:kern w:val="16"/>
                        <w:sz w:val="19"/>
                        <w:szCs w:val="19"/>
                        <w:lang w:val="en-US" w:bidi="ar-SA"/>
                      </w:rPr>
                    </m:ctrlPr>
                  </m:sSupPr>
                  <m:e>
                    <m:r>
                      <m:rPr/>
                      <w:rPr>
                        <w:rFonts w:ascii="Cambria Math" w:hAnsi="Cambria Math" w:cs="Times New Roman"/>
                        <w:color w:val="000000"/>
                        <w:kern w:val="16"/>
                        <w:sz w:val="19"/>
                        <w:szCs w:val="19"/>
                        <w:lang w:val="en-US" w:bidi="ar-SA"/>
                      </w:rPr>
                      <m:t>τ</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eastAsia" w:ascii="Cambria Math" w:hAnsi="Cambria Math" w:eastAsia="宋体" w:cs="Times New Roman"/>
                <w:b w:val="0"/>
                <w:i/>
                <w:color w:val="000000"/>
                <w:kern w:val="16"/>
                <w:sz w:val="19"/>
                <w:szCs w:val="19"/>
                <w:lang w:val="en-US" w:eastAsia="zh-CN" w:bidi="ar-SA"/>
                <w:oMath/>
              </w:rPr>
            </w:pPr>
            <m:oMathPara>
              <m:oMath>
                <m:sSub>
                  <m:sSubPr>
                    <m:ctrlPr>
                      <w:rPr>
                        <w:rFonts w:ascii="Cambria Math" w:hAnsi="Cambria Math" w:cs="Times New Roman"/>
                        <w:b w:val="0"/>
                        <w:i/>
                        <w:iCs/>
                        <w:color w:val="000000"/>
                        <w:kern w:val="16"/>
                        <w:sz w:val="19"/>
                        <w:szCs w:val="19"/>
                        <w:lang w:val="en-US" w:bidi="ar-SA"/>
                      </w:rPr>
                    </m:ctrlPr>
                  </m:sSubPr>
                  <m:e>
                    <m:r>
                      <m:rPr/>
                      <w:rPr>
                        <w:rFonts w:hint="default" w:ascii="Cambria Math" w:hAnsi="Cambria Math" w:cs="Times New Roman"/>
                        <w:color w:val="000000"/>
                        <w:kern w:val="16"/>
                        <w:sz w:val="19"/>
                        <w:szCs w:val="19"/>
                        <w:lang w:val="en-US" w:bidi="ar-SA"/>
                      </w:rPr>
                      <m:t>λ</m:t>
                    </m:r>
                    <m:ctrlPr>
                      <w:rPr>
                        <w:rFonts w:ascii="Cambria Math" w:hAnsi="Cambria Math" w:cs="Times New Roman"/>
                        <w:b w:val="0"/>
                        <w:i/>
                        <w:iCs/>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iCs/>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iCs/>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μ</m:t>
                    </m:r>
                    <m:ctrlPr>
                      <w:rPr>
                        <w:rFonts w:hint="default" w:ascii="Cambria Math" w:hAnsi="Cambria Math" w:cs="Times New Roman"/>
                        <w:b w:val="0"/>
                        <w:i/>
                        <w:iCs/>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iCs/>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次感知任务中的质量成本因子、移动成本因子</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m:t>
                    </m:r>
                    <m:r>
                      <m:rPr/>
                      <w:rPr>
                        <w:rFonts w:hint="default" w:ascii="Cambria Math" w:hAnsi="Cambria Math" w:cs="Times New Roman"/>
                        <w:color w:val="000000"/>
                        <w:kern w:val="16"/>
                        <w:sz w:val="19"/>
                        <w:szCs w:val="19"/>
                        <w:lang w:val="en-US" w:eastAsia="zh-CN" w:bidi="ar-SA"/>
                      </w:rPr>
                      <m:t>P</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Θ</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的任务的质量成本、移动成本</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
                <m:r>
                  <m:rPr/>
                  <w:rPr>
                    <w:rFonts w:hint="default" w:ascii="Cambria Math" w:hAnsi="Cambria Math" w:cs="Times New Roman"/>
                    <w:color w:val="000000"/>
                    <w:kern w:val="16"/>
                    <w:sz w:val="19"/>
                    <w:szCs w:val="19"/>
                    <w:lang w:val="en-US" w:bidi="ar-SA"/>
                  </w:rPr>
                  <m:t>α</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β</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γ</m:t>
                </m:r>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质量贡献、报价贡献、质价比例系数</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color w:val="000000"/>
                        <w:kern w:val="16"/>
                        <w:sz w:val="19"/>
                        <w:szCs w:val="19"/>
                        <w:lang w:val="en-US" w:bidi="ar-SA"/>
                      </w:rPr>
                    </m:ctrlPr>
                  </m:sSubSupPr>
                  <m:e>
                    <m:r>
                      <m:rPr>
                        <m:sty m:val="p"/>
                      </m:rPr>
                      <w:rPr>
                        <w:rFonts w:ascii="Cambria Math" w:hAnsi="Cambria Math" w:cs="Times New Roman"/>
                        <w:color w:val="000000"/>
                        <w:kern w:val="16"/>
                        <w:sz w:val="19"/>
                        <w:szCs w:val="19"/>
                        <w:lang w:val="en-US" w:bidi="ar-SA"/>
                      </w:rPr>
                      <m:t>ξ</m:t>
                    </m:r>
                    <m:ctrlPr>
                      <w:rPr>
                        <w:rFonts w:ascii="Cambria Math" w:hAnsi="Cambria Math" w:cs="Times New Roman"/>
                        <w:color w:val="000000"/>
                        <w:kern w:val="16"/>
                        <w:sz w:val="19"/>
                        <w:szCs w:val="19"/>
                        <w:lang w:val="en-US" w:bidi="ar-SA"/>
                      </w:rPr>
                    </m:ctrlPr>
                  </m:e>
                  <m:sub>
                    <m:r>
                      <m:rPr>
                        <m:sty m:val="p"/>
                      </m:rPr>
                      <w:rPr>
                        <w:rFonts w:hint="default" w:ascii="Cambria Math" w:hAnsi="Cambria Math" w:cs="Times New Roman"/>
                        <w:color w:val="000000"/>
                        <w:kern w:val="16"/>
                        <w:sz w:val="19"/>
                        <w:szCs w:val="19"/>
                        <w:lang w:val="en-US" w:eastAsia="zh-CN" w:bidi="ar-SA"/>
                      </w:rPr>
                      <m:t>j,a</m:t>
                    </m:r>
                    <m:ctrlPr>
                      <w:rPr>
                        <w:rFonts w:ascii="Cambria Math" w:hAnsi="Cambria Math" w:cs="Times New Roman"/>
                        <w:color w:val="000000"/>
                        <w:kern w:val="16"/>
                        <w:sz w:val="19"/>
                        <w:szCs w:val="19"/>
                        <w:lang w:val="en-US" w:bidi="ar-SA"/>
                      </w:rPr>
                    </m:ctrlPr>
                  </m:sub>
                  <m:sup>
                    <m:r>
                      <m:rPr>
                        <m:sty m:val="p"/>
                      </m:rPr>
                      <w:rPr>
                        <w:rFonts w:hint="default" w:ascii="Cambria Math" w:hAnsi="Cambria Math" w:cs="Times New Roman"/>
                        <w:color w:val="000000"/>
                        <w:kern w:val="16"/>
                        <w:sz w:val="19"/>
                        <w:szCs w:val="19"/>
                        <w:lang w:val="en-US" w:eastAsia="zh-CN" w:bidi="ar-SA"/>
                      </w:rPr>
                      <m:t>i</m:t>
                    </m:r>
                    <m:ctrlPr>
                      <w:rPr>
                        <w:rFonts w:ascii="Cambria Math" w:hAnsi="Cambria Math" w:cs="Times New Roman"/>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的任务的成本、利润需求</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次感知任务分配时考虑的成本因子、分辨强度</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Da</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1,</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1</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2</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2</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非信任工人集合、非信任工人索引</w:t>
            </w:r>
          </w:p>
        </w:tc>
      </w:tr>
      <w:tr>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
                  <m:sSubPr>
                    <m:ctrlPr>
                      <w:rPr>
                        <w:rFonts w:hint="eastAsia" w:ascii="Cambria Math" w:hAnsi="Cambria Math" w:cs="Times New Roman"/>
                        <w:b w:val="0"/>
                        <w:i/>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δ</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k</m:t>
                    </m:r>
                    <m:ctrlPr>
                      <w:rPr>
                        <w:rFonts w:hint="eastAsia"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single" w:color="000000" w:sz="12" w:space="0"/>
              <w:right w:val="nil"/>
            </w:tcBorders>
            <w:shd w:val="clear" w:color="auto" w:fill="FFFFFF"/>
            <w:vAlign w:val="center"/>
          </w:tcPr>
          <w:p>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次感知任务中初始任务图、信任工人任务分配二分图、工人任务分配二分图</w:t>
            </w:r>
          </w:p>
        </w:tc>
      </w:tr>
    </w:tbl>
    <w:p>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bookmarkStart w:id="0" w:name="_GoBack"/>
      <w:bookmarkEnd w:id="0"/>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wNjI0MWZiZDA4MWRiMzk3NDJmYzRjMGVlMTY1Y2MifQ=="/>
  </w:docVars>
  <w:rsids>
    <w:rsidRoot w:val="7E927589"/>
    <w:rsid w:val="01282E62"/>
    <w:rsid w:val="03BC344D"/>
    <w:rsid w:val="055D184A"/>
    <w:rsid w:val="072C0C6B"/>
    <w:rsid w:val="08406CE4"/>
    <w:rsid w:val="09AC3346"/>
    <w:rsid w:val="0AC91212"/>
    <w:rsid w:val="0B001953"/>
    <w:rsid w:val="0D44269A"/>
    <w:rsid w:val="0EA32EFB"/>
    <w:rsid w:val="0EF9473A"/>
    <w:rsid w:val="107C2883"/>
    <w:rsid w:val="1111121D"/>
    <w:rsid w:val="11196324"/>
    <w:rsid w:val="119C49AB"/>
    <w:rsid w:val="12190A06"/>
    <w:rsid w:val="16421E79"/>
    <w:rsid w:val="18B15DAA"/>
    <w:rsid w:val="1B900A6E"/>
    <w:rsid w:val="1BD60225"/>
    <w:rsid w:val="20E35B9C"/>
    <w:rsid w:val="22C85FA2"/>
    <w:rsid w:val="24FC7503"/>
    <w:rsid w:val="251E1D03"/>
    <w:rsid w:val="26566A64"/>
    <w:rsid w:val="28090A48"/>
    <w:rsid w:val="28C130D1"/>
    <w:rsid w:val="2A8B5150"/>
    <w:rsid w:val="2C513591"/>
    <w:rsid w:val="301377FF"/>
    <w:rsid w:val="32EB31A6"/>
    <w:rsid w:val="336D766C"/>
    <w:rsid w:val="35C8117C"/>
    <w:rsid w:val="37A662B4"/>
    <w:rsid w:val="3A7D30C8"/>
    <w:rsid w:val="3AC151B3"/>
    <w:rsid w:val="3BD66A3C"/>
    <w:rsid w:val="3D9D5A63"/>
    <w:rsid w:val="3EC447EA"/>
    <w:rsid w:val="405C21A6"/>
    <w:rsid w:val="418B4E86"/>
    <w:rsid w:val="42DC702D"/>
    <w:rsid w:val="44641089"/>
    <w:rsid w:val="45554E75"/>
    <w:rsid w:val="459E6F8C"/>
    <w:rsid w:val="4CB132D9"/>
    <w:rsid w:val="4E7B742C"/>
    <w:rsid w:val="4ED70088"/>
    <w:rsid w:val="4F795BDC"/>
    <w:rsid w:val="4F974B6F"/>
    <w:rsid w:val="507F775C"/>
    <w:rsid w:val="51656B7E"/>
    <w:rsid w:val="51E47CAD"/>
    <w:rsid w:val="56207F27"/>
    <w:rsid w:val="572B72E2"/>
    <w:rsid w:val="579932E7"/>
    <w:rsid w:val="59A71CEC"/>
    <w:rsid w:val="5B13515F"/>
    <w:rsid w:val="5BB12A42"/>
    <w:rsid w:val="5BE11D6B"/>
    <w:rsid w:val="5FB42375"/>
    <w:rsid w:val="601B1492"/>
    <w:rsid w:val="6062696C"/>
    <w:rsid w:val="62C6064B"/>
    <w:rsid w:val="636F6DD4"/>
    <w:rsid w:val="643D106B"/>
    <w:rsid w:val="64FD6651"/>
    <w:rsid w:val="65D11E9E"/>
    <w:rsid w:val="66330987"/>
    <w:rsid w:val="6A136F29"/>
    <w:rsid w:val="6B4750DC"/>
    <w:rsid w:val="6CE0240E"/>
    <w:rsid w:val="6E204A22"/>
    <w:rsid w:val="737A48E3"/>
    <w:rsid w:val="74497FC6"/>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4083</Words>
  <Characters>4217</Characters>
  <Lines>0</Lines>
  <Paragraphs>0</Paragraphs>
  <TotalTime>8</TotalTime>
  <ScaleCrop>false</ScaleCrop>
  <LinksUpToDate>false</LinksUpToDate>
  <CharactersWithSpaces>4246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WPS_1687846510</cp:lastModifiedBy>
  <dcterms:modified xsi:type="dcterms:W3CDTF">2024-07-16T15:27:13Z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A27DEC214E6742FC9A7A2B3E4FC2697F_13</vt:lpwstr>
  </property>
</Properties>
</file>