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0895" w:rsidRDefault="00E60895">
      <w:pPr>
        <w:spacing w:line="360" w:lineRule="auto"/>
      </w:pPr>
    </w:p>
    <w:p w:rsidR="00E60895" w:rsidRPr="00E87CA3" w:rsidRDefault="00E87CA3">
      <w:pPr>
        <w:spacing w:after="600" w:line="360" w:lineRule="auto"/>
        <w:jc w:val="center"/>
        <w:rPr>
          <w:sz w:val="84"/>
          <w:szCs w:val="84"/>
        </w:rPr>
      </w:pPr>
      <w:r w:rsidRPr="00E87CA3">
        <w:rPr>
          <w:rFonts w:ascii="黑体" w:eastAsia="黑体" w:hAnsi="黑体"/>
          <w:sz w:val="84"/>
          <w:szCs w:val="84"/>
        </w:rPr>
        <w:t>《软件工程实践》</w:t>
      </w:r>
    </w:p>
    <w:p w:rsidR="00E60895" w:rsidRDefault="00593D25">
      <w:pPr>
        <w:spacing w:after="300" w:line="360" w:lineRule="auto"/>
        <w:jc w:val="center"/>
      </w:pPr>
      <w:r>
        <w:rPr>
          <w:rFonts w:ascii="黑体" w:eastAsia="黑体" w:hAnsi="黑体"/>
          <w:b/>
          <w:bCs/>
          <w:sz w:val="64"/>
          <w:szCs w:val="64"/>
        </w:rPr>
        <w:t>开</w:t>
      </w:r>
      <w:r>
        <w:rPr>
          <w:rFonts w:ascii="黑体" w:eastAsia="黑体" w:hAnsi="黑体"/>
          <w:b/>
          <w:bCs/>
          <w:sz w:val="64"/>
          <w:szCs w:val="64"/>
        </w:rPr>
        <w:t xml:space="preserve"> </w:t>
      </w:r>
      <w:r>
        <w:rPr>
          <w:rFonts w:ascii="黑体" w:eastAsia="黑体" w:hAnsi="黑体"/>
          <w:b/>
          <w:bCs/>
          <w:sz w:val="64"/>
          <w:szCs w:val="64"/>
        </w:rPr>
        <w:t>题</w:t>
      </w:r>
      <w:r>
        <w:rPr>
          <w:rFonts w:ascii="黑体" w:eastAsia="黑体" w:hAnsi="黑体"/>
          <w:b/>
          <w:bCs/>
          <w:sz w:val="64"/>
          <w:szCs w:val="64"/>
        </w:rPr>
        <w:t xml:space="preserve"> </w:t>
      </w:r>
      <w:r>
        <w:rPr>
          <w:rFonts w:ascii="黑体" w:eastAsia="黑体" w:hAnsi="黑体"/>
          <w:b/>
          <w:bCs/>
          <w:sz w:val="64"/>
          <w:szCs w:val="64"/>
        </w:rPr>
        <w:t>任</w:t>
      </w:r>
      <w:r>
        <w:rPr>
          <w:rFonts w:ascii="黑体" w:eastAsia="黑体" w:hAnsi="黑体"/>
          <w:b/>
          <w:bCs/>
          <w:sz w:val="64"/>
          <w:szCs w:val="64"/>
        </w:rPr>
        <w:t xml:space="preserve"> </w:t>
      </w:r>
      <w:proofErr w:type="gramStart"/>
      <w:r>
        <w:rPr>
          <w:rFonts w:ascii="黑体" w:eastAsia="黑体" w:hAnsi="黑体"/>
          <w:b/>
          <w:bCs/>
          <w:sz w:val="64"/>
          <w:szCs w:val="64"/>
        </w:rPr>
        <w:t>务</w:t>
      </w:r>
      <w:proofErr w:type="gramEnd"/>
      <w:r>
        <w:rPr>
          <w:rFonts w:ascii="黑体" w:eastAsia="黑体" w:hAnsi="黑体"/>
          <w:b/>
          <w:bCs/>
          <w:sz w:val="64"/>
          <w:szCs w:val="64"/>
        </w:rPr>
        <w:t xml:space="preserve"> </w:t>
      </w:r>
      <w:r>
        <w:rPr>
          <w:rFonts w:ascii="黑体" w:eastAsia="黑体" w:hAnsi="黑体"/>
          <w:b/>
          <w:bCs/>
          <w:sz w:val="64"/>
          <w:szCs w:val="64"/>
        </w:rPr>
        <w:t>书</w:t>
      </w:r>
    </w:p>
    <w:p w:rsidR="00E60895" w:rsidRDefault="00593D25">
      <w:pPr>
        <w:spacing w:line="360" w:lineRule="auto"/>
        <w:jc w:val="center"/>
      </w:pPr>
      <w:r>
        <w:rPr>
          <w:rFonts w:ascii="黑体" w:eastAsia="黑体" w:hAnsi="黑体"/>
          <w:sz w:val="32"/>
          <w:szCs w:val="32"/>
        </w:rPr>
        <w:t>（软件开发类）</w:t>
      </w:r>
    </w:p>
    <w:p w:rsidR="00E60895" w:rsidRDefault="00E60895">
      <w:pPr>
        <w:spacing w:line="360" w:lineRule="auto"/>
      </w:pPr>
    </w:p>
    <w:p w:rsidR="00E60895" w:rsidRDefault="00E60895">
      <w:pPr>
        <w:spacing w:line="360" w:lineRule="auto"/>
      </w:pPr>
    </w:p>
    <w:p w:rsidR="00E60895" w:rsidRDefault="00E60895">
      <w:pPr>
        <w:spacing w:line="360" w:lineRule="auto"/>
      </w:pPr>
    </w:p>
    <w:p w:rsidR="00E60895" w:rsidRDefault="00E60895">
      <w:pPr>
        <w:spacing w:line="360" w:lineRule="auto"/>
      </w:pP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600"/>
      </w:tblGrid>
      <w:tr w:rsidR="00E60895">
        <w:tblPrEx>
          <w:tblCellMar>
            <w:top w:w="0" w:type="dxa"/>
            <w:bottom w:w="0" w:type="dxa"/>
          </w:tblCellMar>
        </w:tblPrEx>
        <w:trPr>
          <w:trHeight w:val="680"/>
          <w:jc w:val="center"/>
        </w:trPr>
        <w:tc>
          <w:tcPr>
            <w:tcW w:w="1900" w:type="dxa"/>
            <w:tcBorders>
              <w:top w:val="none" w:sz="0" w:space="0" w:color="FFFFFF"/>
              <w:left w:val="none" w:sz="0" w:space="0" w:color="FFFFFF"/>
              <w:bottom w:val="none" w:sz="0" w:space="0" w:color="FFFFFF"/>
              <w:right w:val="none" w:sz="0" w:space="0" w:color="FFFFFF"/>
            </w:tcBorders>
            <w:vAlign w:val="bottom"/>
          </w:tcPr>
          <w:p w:rsidR="00E60895" w:rsidRDefault="00593D25">
            <w:pPr>
              <w:spacing w:line="360" w:lineRule="auto"/>
              <w:jc w:val="distribute"/>
            </w:pPr>
            <w:r>
              <w:rPr>
                <w:rFonts w:ascii="黑体" w:eastAsia="黑体" w:hAnsi="黑体"/>
                <w:sz w:val="30"/>
                <w:szCs w:val="30"/>
              </w:rPr>
              <w:t>题</w:t>
            </w:r>
            <w:r>
              <w:rPr>
                <w:rFonts w:ascii="黑体" w:eastAsia="黑体" w:hAnsi="黑体"/>
                <w:sz w:val="30"/>
                <w:szCs w:val="30"/>
              </w:rPr>
              <w:t xml:space="preserve">    </w:t>
            </w:r>
            <w:r>
              <w:rPr>
                <w:rFonts w:ascii="黑体" w:eastAsia="黑体" w:hAnsi="黑体"/>
                <w:sz w:val="30"/>
                <w:szCs w:val="30"/>
              </w:rPr>
              <w:t>目：</w:t>
            </w:r>
          </w:p>
        </w:tc>
        <w:tc>
          <w:tcPr>
            <w:tcW w:w="4600" w:type="dxa"/>
            <w:tcBorders>
              <w:top w:val="none" w:sz="0" w:space="0" w:color="FFFFFF"/>
              <w:left w:val="none" w:sz="0" w:space="0" w:color="FFFFFF"/>
              <w:bottom w:val="single" w:sz="8" w:space="0" w:color="000000"/>
              <w:right w:val="none" w:sz="0" w:space="0" w:color="FFFFFF"/>
            </w:tcBorders>
            <w:vAlign w:val="bottom"/>
          </w:tcPr>
          <w:p>
            <w:pPr>
              <w:spacing w:line="360" w:lineRule="auto"/>
              <w:jc w:val="center"/>
            </w:pPr>
            <w:r>
              <w:rPr>
                <w:b w:val="0"/>
                <w:sz w:val="24"/>
              </w:rPr>
              <w:t>测井约束下基于深度学习的井震联合速度场建模方法与系统实现</w:t>
            </w:r>
          </w:p>
        </w:tc>
      </w:tr>
      <w:tr w:rsidR="00E60895">
        <w:tblPrEx>
          <w:tblCellMar>
            <w:top w:w="0" w:type="dxa"/>
            <w:bottom w:w="0" w:type="dxa"/>
          </w:tblCellMar>
        </w:tblPrEx>
        <w:trPr>
          <w:trHeight w:val="680"/>
          <w:jc w:val="center"/>
        </w:trPr>
        <w:tc>
          <w:tcPr>
            <w:tcW w:w="1900" w:type="dxa"/>
            <w:tcBorders>
              <w:top w:val="none" w:sz="0" w:space="0" w:color="FFFFFF"/>
              <w:left w:val="none" w:sz="0" w:space="0" w:color="FFFFFF"/>
              <w:bottom w:val="none" w:sz="0" w:space="0" w:color="FFFFFF"/>
              <w:right w:val="none" w:sz="0" w:space="0" w:color="FFFFFF"/>
            </w:tcBorders>
            <w:vAlign w:val="bottom"/>
          </w:tcPr>
          <w:p w:rsidR="00E60895" w:rsidRDefault="00593D25">
            <w:pPr>
              <w:spacing w:line="360" w:lineRule="auto"/>
              <w:jc w:val="distribute"/>
            </w:pPr>
            <w:r>
              <w:rPr>
                <w:rFonts w:ascii="黑体" w:eastAsia="黑体" w:hAnsi="黑体"/>
                <w:sz w:val="30"/>
                <w:szCs w:val="30"/>
              </w:rPr>
              <w:t>学</w:t>
            </w:r>
            <w:r>
              <w:rPr>
                <w:rFonts w:ascii="黑体" w:eastAsia="黑体" w:hAnsi="黑体"/>
                <w:sz w:val="30"/>
                <w:szCs w:val="30"/>
              </w:rPr>
              <w:t xml:space="preserve">    </w:t>
            </w:r>
            <w:r>
              <w:rPr>
                <w:rFonts w:ascii="黑体" w:eastAsia="黑体" w:hAnsi="黑体"/>
                <w:sz w:val="30"/>
                <w:szCs w:val="30"/>
              </w:rPr>
              <w:t>号：</w:t>
            </w:r>
          </w:p>
        </w:tc>
        <w:tc>
          <w:tcPr>
            <w:tcW w:w="4600" w:type="dxa"/>
            <w:tcBorders>
              <w:top w:val="none" w:sz="0" w:space="0" w:color="FFFFFF"/>
              <w:left w:val="none" w:sz="0" w:space="0" w:color="FFFFFF"/>
              <w:bottom w:val="single" w:sz="8" w:space="0" w:color="000000"/>
              <w:right w:val="none" w:sz="0" w:space="0" w:color="FFFFFF"/>
            </w:tcBorders>
            <w:vAlign w:val="bottom"/>
          </w:tcPr>
          <w:p>
            <w:pPr>
              <w:spacing w:line="360" w:lineRule="auto"/>
              <w:jc w:val="center"/>
            </w:pPr>
            <w:r>
              <w:rPr>
                <w:b w:val="0"/>
                <w:sz w:val="21"/>
              </w:rPr>
              <w:t>2023015617</w:t>
            </w:r>
          </w:p>
        </w:tc>
      </w:tr>
      <w:tr w:rsidR="00E60895">
        <w:tblPrEx>
          <w:tblCellMar>
            <w:top w:w="0" w:type="dxa"/>
            <w:bottom w:w="0" w:type="dxa"/>
          </w:tblCellMar>
        </w:tblPrEx>
        <w:trPr>
          <w:trHeight w:val="680"/>
          <w:jc w:val="center"/>
        </w:trPr>
        <w:tc>
          <w:tcPr>
            <w:tcW w:w="1900" w:type="dxa"/>
            <w:tcBorders>
              <w:top w:val="none" w:sz="0" w:space="0" w:color="FFFFFF"/>
              <w:left w:val="none" w:sz="0" w:space="0" w:color="FFFFFF"/>
              <w:bottom w:val="none" w:sz="0" w:space="0" w:color="FFFFFF"/>
              <w:right w:val="none" w:sz="0" w:space="0" w:color="FFFFFF"/>
            </w:tcBorders>
            <w:vAlign w:val="bottom"/>
          </w:tcPr>
          <w:p w:rsidR="00E60895" w:rsidRDefault="00593D25">
            <w:pPr>
              <w:spacing w:line="360" w:lineRule="auto"/>
              <w:jc w:val="distribute"/>
            </w:pPr>
            <w:r>
              <w:rPr>
                <w:rFonts w:ascii="黑体" w:eastAsia="黑体" w:hAnsi="黑体"/>
                <w:sz w:val="30"/>
                <w:szCs w:val="30"/>
              </w:rPr>
              <w:t>姓</w:t>
            </w:r>
            <w:r>
              <w:rPr>
                <w:rFonts w:ascii="黑体" w:eastAsia="黑体" w:hAnsi="黑体"/>
                <w:sz w:val="30"/>
                <w:szCs w:val="30"/>
              </w:rPr>
              <w:t xml:space="preserve">    </w:t>
            </w:r>
            <w:r>
              <w:rPr>
                <w:rFonts w:ascii="黑体" w:eastAsia="黑体" w:hAnsi="黑体"/>
                <w:sz w:val="30"/>
                <w:szCs w:val="30"/>
              </w:rPr>
              <w:t>名：</w:t>
            </w:r>
          </w:p>
        </w:tc>
        <w:tc>
          <w:tcPr>
            <w:tcW w:w="4600" w:type="dxa"/>
            <w:tcBorders>
              <w:top w:val="none" w:sz="0" w:space="0" w:color="FFFFFF"/>
              <w:left w:val="none" w:sz="0" w:space="0" w:color="FFFFFF"/>
              <w:bottom w:val="single" w:sz="8" w:space="0" w:color="000000"/>
              <w:right w:val="none" w:sz="0" w:space="0" w:color="FFFFFF"/>
            </w:tcBorders>
            <w:vAlign w:val="bottom"/>
          </w:tcPr>
          <w:p>
            <w:pPr>
              <w:spacing w:line="360" w:lineRule="auto"/>
              <w:jc w:val="center"/>
            </w:pPr>
            <w:r>
              <w:rPr>
                <w:b w:val="0"/>
                <w:sz w:val="21"/>
              </w:rPr>
              <w:t>刘星</w:t>
            </w:r>
          </w:p>
        </w:tc>
      </w:tr>
      <w:tr w:rsidR="00E60895">
        <w:tblPrEx>
          <w:tblCellMar>
            <w:top w:w="0" w:type="dxa"/>
            <w:bottom w:w="0" w:type="dxa"/>
          </w:tblCellMar>
        </w:tblPrEx>
        <w:trPr>
          <w:trHeight w:val="680"/>
          <w:jc w:val="center"/>
        </w:trPr>
        <w:tc>
          <w:tcPr>
            <w:tcW w:w="1900" w:type="dxa"/>
            <w:tcBorders>
              <w:top w:val="none" w:sz="0" w:space="0" w:color="FFFFFF"/>
              <w:left w:val="none" w:sz="0" w:space="0" w:color="FFFFFF"/>
              <w:bottom w:val="none" w:sz="0" w:space="0" w:color="FFFFFF"/>
              <w:right w:val="none" w:sz="0" w:space="0" w:color="FFFFFF"/>
            </w:tcBorders>
            <w:vAlign w:val="bottom"/>
          </w:tcPr>
          <w:p w:rsidR="00E60895" w:rsidRDefault="00593D25">
            <w:pPr>
              <w:spacing w:line="360" w:lineRule="auto"/>
              <w:jc w:val="distribute"/>
            </w:pPr>
            <w:r>
              <w:rPr>
                <w:rFonts w:ascii="黑体" w:eastAsia="黑体" w:hAnsi="黑体"/>
                <w:sz w:val="30"/>
                <w:szCs w:val="30"/>
              </w:rPr>
              <w:t>班</w:t>
            </w:r>
            <w:r>
              <w:rPr>
                <w:rFonts w:ascii="黑体" w:eastAsia="黑体" w:hAnsi="黑体"/>
                <w:sz w:val="30"/>
                <w:szCs w:val="30"/>
              </w:rPr>
              <w:t xml:space="preserve">    </w:t>
            </w:r>
            <w:r>
              <w:rPr>
                <w:rFonts w:ascii="黑体" w:eastAsia="黑体" w:hAnsi="黑体"/>
                <w:sz w:val="30"/>
                <w:szCs w:val="30"/>
              </w:rPr>
              <w:t>级：</w:t>
            </w:r>
          </w:p>
        </w:tc>
        <w:tc>
          <w:tcPr>
            <w:tcW w:w="4600" w:type="dxa"/>
            <w:tcBorders>
              <w:top w:val="none" w:sz="0" w:space="0" w:color="FFFFFF"/>
              <w:left w:val="none" w:sz="0" w:space="0" w:color="FFFFFF"/>
              <w:bottom w:val="single" w:sz="8" w:space="0" w:color="000000"/>
              <w:right w:val="none" w:sz="0" w:space="0" w:color="FFFFFF"/>
            </w:tcBorders>
            <w:vAlign w:val="bottom"/>
          </w:tcPr>
          <w:p>
            <w:pPr>
              <w:spacing w:line="360" w:lineRule="auto"/>
              <w:jc w:val="center"/>
            </w:pPr>
            <w:r>
              <w:rPr>
                <w:b w:val="0"/>
                <w:sz w:val="21"/>
              </w:rPr>
              <w:t>软件工程23-4班</w:t>
            </w:r>
          </w:p>
        </w:tc>
      </w:tr>
      <w:tr w:rsidR="00E60895">
        <w:tblPrEx>
          <w:tblCellMar>
            <w:top w:w="0" w:type="dxa"/>
            <w:bottom w:w="0" w:type="dxa"/>
          </w:tblCellMar>
        </w:tblPrEx>
        <w:trPr>
          <w:trHeight w:val="680"/>
          <w:jc w:val="center"/>
        </w:trPr>
        <w:tc>
          <w:tcPr>
            <w:tcW w:w="1900" w:type="dxa"/>
            <w:tcBorders>
              <w:top w:val="none" w:sz="0" w:space="0" w:color="FFFFFF"/>
              <w:left w:val="none" w:sz="0" w:space="0" w:color="FFFFFF"/>
              <w:bottom w:val="none" w:sz="0" w:space="0" w:color="FFFFFF"/>
              <w:right w:val="none" w:sz="0" w:space="0" w:color="FFFFFF"/>
            </w:tcBorders>
            <w:vAlign w:val="bottom"/>
          </w:tcPr>
          <w:p w:rsidR="00E60895" w:rsidRDefault="00593D25">
            <w:pPr>
              <w:spacing w:line="360" w:lineRule="auto"/>
              <w:jc w:val="distribute"/>
            </w:pPr>
            <w:r>
              <w:rPr>
                <w:rFonts w:ascii="黑体" w:eastAsia="黑体" w:hAnsi="黑体"/>
                <w:sz w:val="30"/>
                <w:szCs w:val="30"/>
              </w:rPr>
              <w:t>指导教师：</w:t>
            </w:r>
          </w:p>
        </w:tc>
        <w:tc>
          <w:tcPr>
            <w:tcW w:w="4600" w:type="dxa"/>
            <w:tcBorders>
              <w:top w:val="none" w:sz="0" w:space="0" w:color="FFFFFF"/>
              <w:left w:val="none" w:sz="0" w:space="0" w:color="FFFFFF"/>
              <w:bottom w:val="single" w:sz="8" w:space="0" w:color="000000"/>
              <w:right w:val="none" w:sz="0" w:space="0" w:color="FFFFFF"/>
            </w:tcBorders>
            <w:vAlign w:val="bottom"/>
          </w:tcPr>
          <w:p>
            <w:pPr>
              <w:spacing w:line="360" w:lineRule="auto"/>
              <w:jc w:val="center"/>
            </w:pPr>
            <w:r>
              <w:rPr>
                <w:b w:val="0"/>
                <w:sz w:val="21"/>
              </w:rPr>
              <w:t>周洪涛</w:t>
            </w:r>
          </w:p>
        </w:tc>
      </w:tr>
    </w:tbl>
    <w:p w:rsidR="00E60895" w:rsidRDefault="00E60895">
      <w:pPr>
        <w:spacing w:line="360" w:lineRule="auto"/>
      </w:pPr>
    </w:p>
    <w:p w:rsidR="00E60895" w:rsidRDefault="00E60895">
      <w:pPr>
        <w:spacing w:line="360" w:lineRule="auto"/>
      </w:pPr>
    </w:p>
    <w:p w:rsidR="00E60895" w:rsidRDefault="00E60895">
      <w:pPr>
        <w:spacing w:line="360" w:lineRule="auto"/>
      </w:pPr>
    </w:p>
    <w:p w:rsidR="00E60895" w:rsidRDefault="00E60895">
      <w:pPr>
        <w:spacing w:line="360" w:lineRule="auto"/>
      </w:pPr>
    </w:p>
    <w:p w:rsidR="00E60895" w:rsidRDefault="00593D25">
      <w:pPr>
        <w:spacing w:line="360" w:lineRule="auto"/>
        <w:jc w:val="center"/>
      </w:pPr>
      <w:r>
        <w:rPr>
          <w:sz w:val="28"/>
          <w:szCs w:val="28"/>
        </w:rPr>
        <w:t>2026—2027</w:t>
      </w:r>
      <w:r>
        <w:rPr>
          <w:sz w:val="28"/>
          <w:szCs w:val="28"/>
        </w:rPr>
        <w:t>学年</w:t>
      </w:r>
      <w:r>
        <w:rPr>
          <w:sz w:val="28"/>
          <w:szCs w:val="28"/>
        </w:rPr>
        <w:t xml:space="preserve"> </w:t>
      </w:r>
      <w:r>
        <w:rPr>
          <w:sz w:val="28"/>
          <w:szCs w:val="28"/>
        </w:rPr>
        <w:t>秋季学期</w:t>
      </w:r>
    </w:p>
    <w:p w:rsidR="00E60895" w:rsidRDefault="00593D25">
      <w:pPr>
        <w:spacing w:before="200" w:line="360" w:lineRule="auto"/>
        <w:jc w:val="center"/>
      </w:pPr>
      <w:r>
        <w:rPr>
          <w:sz w:val="28"/>
          <w:szCs w:val="28"/>
        </w:rPr>
        <w:t>填表日期：</w:t>
      </w:r>
      <w:r>
        <w:rPr>
          <w:sz w:val="28"/>
          <w:szCs w:val="28"/>
        </w:rPr>
        <w:t xml:space="preserve"> 2026 </w:t>
      </w:r>
      <w:r>
        <w:rPr>
          <w:sz w:val="28"/>
          <w:szCs w:val="28"/>
        </w:rPr>
        <w:t>年</w:t>
      </w:r>
      <w:r>
        <w:rPr>
          <w:sz w:val="28"/>
          <w:szCs w:val="28"/>
        </w:rPr>
        <w:t xml:space="preserve"> 9 </w:t>
      </w:r>
      <w:r>
        <w:rPr>
          <w:sz w:val="28"/>
          <w:szCs w:val="28"/>
        </w:rPr>
        <w:t>月</w:t>
      </w:r>
      <w:r>
        <w:rPr>
          <w:sz w:val="28"/>
          <w:szCs w:val="28"/>
        </w:rPr>
        <w:t xml:space="preserve"> 28 </w:t>
      </w:r>
      <w:r>
        <w:rPr>
          <w:sz w:val="28"/>
          <w:szCs w:val="28"/>
        </w:rPr>
        <w:t>日</w:t>
      </w:r>
    </w:p>
    <w:p w:rsidR="00E60895" w:rsidRDefault="00593D25">
      <w:r>
        <w:br w:type="page"/>
      </w:r>
    </w:p>
    <w:p w:rsidR="00E60895" w:rsidRDefault="00E60895">
      <w:pPr>
        <w:sectPr w:rsidR="00E60895">
          <w:pgSz w:w="11906" w:h="16838"/>
          <w:pgMar w:top="1440" w:right="1440" w:bottom="1440" w:left="1440" w:header="708" w:footer="708" w:gutter="0"/>
          <w:cols w:space="720"/>
          <w:docGrid w:linePitch="360"/>
        </w:sectPr>
      </w:pPr>
    </w:p>
    <w:p w:rsidR="00E60895" w:rsidRDefault="00593D25">
      <w:pPr>
        <w:spacing w:after="300" w:line="360" w:lineRule="auto"/>
        <w:jc w:val="center"/>
      </w:pPr>
      <w:r>
        <w:rPr>
          <w:rFonts w:ascii="黑体" w:eastAsia="黑体" w:hAnsi="黑体"/>
          <w:b/>
          <w:bCs/>
          <w:sz w:val="34"/>
          <w:szCs w:val="34"/>
        </w:rPr>
        <w:lastRenderedPageBreak/>
        <w:t>《软件工程实践》开题任务书（软件开发类）</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13"/>
        <w:gridCol w:w="1500"/>
        <w:gridCol w:w="3013"/>
      </w:tblGrid>
      <w:tr w:rsidR="00E60895">
        <w:tblPrEx>
          <w:tblCellMar>
            <w:top w:w="0" w:type="dxa"/>
            <w:bottom w:w="0" w:type="dxa"/>
          </w:tblCellMar>
        </w:tblPrEx>
        <w:trPr>
          <w:trHeight w:val="520"/>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keepNext/>
              <w:spacing w:line="320" w:lineRule="auto"/>
              <w:jc w:val="center"/>
            </w:pPr>
            <w:r>
              <w:rPr>
                <w:sz w:val="22"/>
                <w:szCs w:val="22"/>
              </w:rPr>
              <w:t>学</w:t>
            </w:r>
            <w:r>
              <w:rPr>
                <w:sz w:val="22"/>
                <w:szCs w:val="22"/>
              </w:rPr>
              <w:t xml:space="preserve">    </w:t>
            </w:r>
            <w:r>
              <w:rPr>
                <w:sz w:val="22"/>
                <w:szCs w:val="22"/>
              </w:rPr>
              <w:t>号</w:t>
            </w:r>
          </w:p>
        </w:tc>
        <w:tc>
          <w:tcPr>
            <w:tcW w:w="3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keepNext/>
              <w:spacing w:line="320" w:lineRule="auto"/>
              <w:jc w:val="center"/>
            </w:pPr>
            <w:r>
              <w:rPr>
                <w:b w:val="0"/>
                <w:sz w:val="21"/>
              </w:rPr>
              <w:t>2023015617</w:t>
            </w:r>
          </w:p>
        </w:tc>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keepNext/>
              <w:spacing w:line="320" w:lineRule="auto"/>
              <w:jc w:val="center"/>
            </w:pPr>
            <w:r>
              <w:rPr>
                <w:sz w:val="22"/>
                <w:szCs w:val="22"/>
              </w:rPr>
              <w:t>姓</w:t>
            </w:r>
            <w:r>
              <w:rPr>
                <w:sz w:val="22"/>
                <w:szCs w:val="22"/>
              </w:rPr>
              <w:t xml:space="preserve">    </w:t>
            </w:r>
            <w:r>
              <w:rPr>
                <w:sz w:val="22"/>
                <w:szCs w:val="22"/>
              </w:rPr>
              <w:t>名</w:t>
            </w:r>
          </w:p>
        </w:tc>
        <w:tc>
          <w:tcPr>
            <w:tcW w:w="3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keepNext/>
              <w:spacing w:line="320" w:lineRule="auto"/>
              <w:jc w:val="center"/>
            </w:pPr>
            <w:r>
              <w:rPr>
                <w:b w:val="0"/>
                <w:sz w:val="21"/>
              </w:rPr>
              <w:t>刘星</w:t>
            </w:r>
          </w:p>
        </w:tc>
      </w:tr>
      <w:tr w:rsidR="00E60895">
        <w:tblPrEx>
          <w:tblCellMar>
            <w:top w:w="0" w:type="dxa"/>
            <w:bottom w:w="0" w:type="dxa"/>
          </w:tblCellMar>
        </w:tblPrEx>
        <w:trPr>
          <w:trHeight w:val="520"/>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spacing w:line="320" w:lineRule="auto"/>
              <w:jc w:val="center"/>
            </w:pPr>
            <w:r>
              <w:rPr>
                <w:sz w:val="22"/>
                <w:szCs w:val="22"/>
              </w:rPr>
              <w:t>班</w:t>
            </w:r>
            <w:r>
              <w:rPr>
                <w:sz w:val="22"/>
                <w:szCs w:val="22"/>
              </w:rPr>
              <w:t xml:space="preserve">    </w:t>
            </w:r>
            <w:r>
              <w:rPr>
                <w:sz w:val="22"/>
                <w:szCs w:val="22"/>
              </w:rPr>
              <w:t>级</w:t>
            </w:r>
          </w:p>
        </w:tc>
        <w:tc>
          <w:tcPr>
            <w:tcW w:w="3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软件工程23-4班</w:t>
            </w:r>
          </w:p>
        </w:tc>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spacing w:line="320" w:lineRule="auto"/>
              <w:jc w:val="center"/>
            </w:pPr>
            <w:r>
              <w:rPr>
                <w:sz w:val="22"/>
                <w:szCs w:val="22"/>
              </w:rPr>
              <w:t>指导教师</w:t>
            </w:r>
          </w:p>
        </w:tc>
        <w:tc>
          <w:tcPr>
            <w:tcW w:w="3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周洪涛</w:t>
            </w:r>
          </w:p>
        </w:tc>
      </w:tr>
      <w:tr w:rsidR="00E60895">
        <w:tblPrEx>
          <w:tblCellMar>
            <w:top w:w="0" w:type="dxa"/>
            <w:bottom w:w="0" w:type="dxa"/>
          </w:tblCellMar>
        </w:tblPrEx>
        <w:trPr>
          <w:trHeight w:val="700"/>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spacing w:line="320" w:lineRule="auto"/>
              <w:jc w:val="center"/>
            </w:pPr>
            <w:r>
              <w:rPr>
                <w:sz w:val="22"/>
                <w:szCs w:val="22"/>
              </w:rPr>
              <w:t>题</w:t>
            </w:r>
            <w:r>
              <w:rPr>
                <w:sz w:val="22"/>
                <w:szCs w:val="22"/>
              </w:rPr>
              <w:t xml:space="preserve">    </w:t>
            </w:r>
            <w:r>
              <w:rPr>
                <w:sz w:val="22"/>
                <w:szCs w:val="22"/>
              </w:rPr>
              <w:t>目</w:t>
            </w:r>
          </w:p>
        </w:tc>
        <w:tc>
          <w:tcPr>
            <w:tcW w:w="7526"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60" w:lineRule="auto"/>
            </w:pPr>
            <w:r>
              <w:rPr>
                <w:b w:val="0"/>
                <w:sz w:val="21"/>
              </w:rPr>
              <w:t>测井约束下基于深度学习的井震联合速度场建模方法与系统实现</w:t>
            </w:r>
          </w:p>
        </w:tc>
      </w:tr>
      <w:tr w:rsidR="00E60895">
        <w:tblPrEx>
          <w:tblCellMar>
            <w:top w:w="0" w:type="dxa"/>
            <w:bottom w:w="0" w:type="dxa"/>
          </w:tblCellMar>
        </w:tblPrEx>
        <w:trPr>
          <w:trHeight w:val="520"/>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spacing w:line="320" w:lineRule="auto"/>
              <w:jc w:val="center"/>
            </w:pPr>
            <w:r>
              <w:rPr>
                <w:sz w:val="22"/>
                <w:szCs w:val="22"/>
              </w:rPr>
              <w:t>小组成员</w:t>
            </w:r>
          </w:p>
        </w:tc>
        <w:tc>
          <w:tcPr>
            <w:tcW w:w="7526"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pPr>
            <w:r>
              <w:rPr>
                <w:b w:val="0"/>
                <w:sz w:val="21"/>
              </w:rPr>
              <w:t>单人选题</w:t>
            </w:r>
          </w:p>
        </w:tc>
      </w:tr>
    </w:tbl>
    <w:p w:rsidR="00E60895" w:rsidRDefault="00E60895"/>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0895">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keepNext/>
              <w:spacing w:line="360" w:lineRule="auto"/>
            </w:pPr>
            <w:r>
              <w:rPr>
                <w:rFonts w:ascii="黑体" w:eastAsia="黑体" w:hAnsi="黑体"/>
              </w:rPr>
              <w:t>一、项目背景与需求来源</w:t>
            </w:r>
          </w:p>
        </w:tc>
      </w:tr>
      <w:tr w:rsidR="00E60895">
        <w:tblPrEx>
          <w:tblCellMar>
            <w:top w:w="0" w:type="dxa"/>
            <w:bottom w:w="0" w:type="dxa"/>
          </w:tblCellMar>
        </w:tblPrEx>
        <w:trPr>
          <w:trHeight w:val="2600"/>
        </w:trPr>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20" w:lineRule="auto"/>
            </w:pPr>
            <w:r>
              <w:rPr>
                <w:b/>
                <w:sz w:val="21"/>
              </w:rPr>
              <w:t>1. 课题来源</w:t>
            </w:r>
          </w:p>
          <w:p>
            <w:pPr>
              <w:spacing w:line="320" w:lineRule="auto"/>
              <w:ind w:firstLineChars="200" w:firstLine="420"/>
            </w:pPr>
            <w:r>
              <w:rPr>
                <w:b w:val="0"/>
                <w:sz w:val="21"/>
              </w:rPr>
              <w:t>本课题来源于油气勘探开发中的实际需求，并结合本学期《软件工程实践》课程实训开展。地下介质速度场是时深转换、叠前深度偏移成像、构造解释与储层预测的基础参数，其精度直接影响构造落实程度、井位部署与储量评估。常规速度建模方法各有局限：由叠加速度或层析反演得到的速度场横向连续，但分辨率偏低；全波形反演（FWI）精度高，但计算代价大、依赖初始模型且易陷入周波跳跃；测井速度（由声波时差换算）垂向分辨率高、精度可靠，却只分布在稀疏井点，井间只能依靠插值外推。如何把横向连续的地震信息与纵向精确的测井信息有效融合，是速度建模中的核心问题。</w:t>
            </w:r>
          </w:p>
          <w:p>
            <w:pPr>
              <w:spacing w:line="320" w:lineRule="auto"/>
              <w:ind w:firstLineChars="200" w:firstLine="420"/>
            </w:pPr>
            <w:r>
              <w:rPr>
                <w:b w:val="0"/>
                <w:sz w:val="21"/>
              </w:rPr>
              <w:t>近年来，以卷积神经网络为代表的深度学习方法在地震反演与速度建模中展现出强大的非线性映射能力[2]-[5]，为井震联合建模提供了新思路。本课题拟以测井速度作为井点约束、地震数据作为横向结构引导，研究基于深度学习的井震联合速度场建模方法，并将其开发为一套可交互使用的桌面软件系统。</w:t>
            </w:r>
          </w:p>
          <w:p>
            <w:pPr>
              <w:spacing w:line="320" w:lineRule="auto"/>
            </w:pPr>
            <w:r>
              <w:rPr>
                <w:b/>
                <w:sz w:val="21"/>
              </w:rPr>
              <w:t>2. 应用场景与目标用户</w:t>
            </w:r>
          </w:p>
          <w:p>
            <w:pPr>
              <w:spacing w:line="320" w:lineRule="auto"/>
              <w:ind w:firstLineChars="200" w:firstLine="420"/>
            </w:pPr>
            <w:r>
              <w:rPr>
                <w:b w:val="0"/>
                <w:sz w:val="21"/>
              </w:rPr>
              <w:t>应用场景：（1）勘探阶段构造解释中的时深转换与深度域成图；（2）为叠前深度偏移、FWI 等处理流程快速构建初始速度模型；（3）开发阶段储层预测前的背景速度建模；（4）井震联合建模方法的教学演示与科研对比实验。</w:t>
            </w:r>
          </w:p>
          <w:p>
            <w:pPr>
              <w:spacing w:line="320" w:lineRule="auto"/>
              <w:ind w:firstLineChars="200" w:firstLine="420"/>
            </w:pPr>
            <w:r>
              <w:rPr>
                <w:b w:val="0"/>
                <w:sz w:val="21"/>
              </w:rPr>
              <w:t>目标用户：油田研究院及物探处理解释人员（主要用户），需要导入工区地震与测井数据，快速获得可靠的速度场并评估其精度；地球物理方向的科研人员与学生（次要用户），需要在统一平台上对比传统插值方法与深度学习方法的建模效果。</w:t>
            </w:r>
          </w:p>
          <w:p>
            <w:pPr>
              <w:spacing w:line="320" w:lineRule="auto"/>
            </w:pPr>
            <w:r>
              <w:rPr>
                <w:b/>
                <w:sz w:val="21"/>
              </w:rPr>
              <w:t>3. 现有系统或前期版本情况</w:t>
            </w:r>
          </w:p>
          <w:p>
            <w:pPr>
              <w:spacing w:line="320" w:lineRule="auto"/>
              <w:ind w:firstLineChars="200" w:firstLine="420"/>
            </w:pPr>
            <w:r>
              <w:rPr>
                <w:b w:val="0"/>
                <w:sz w:val="21"/>
              </w:rPr>
              <w:t>本课题为全新开发，无前期版本。与本课题相关的现有工具情况如下：（1）商业解释软件（如 Petrel、Jason、GeoEast 等）提供基于层位约束与克里金插值的速度建模模块，功能成熟，但价格昂贵、算法封闭，难以嵌入深度学习方法，且高度依赖人工层位解释；（2）开源工具 VelRecover[8] 基于 Python 实现了由稀疏速度拾取点插值生成二维速度剖面的图形界面，提供线性、对数、RBF、高斯平滑等插值方法，但只利用速度拾取点，既不使用测井资料，也不利用地震振幅中的横向结构信息，且未引入机器学习方法；（3）学术界已有 InversionNet[3]、OpenFWI[7] 等深度学习速度建模研究代码，但多为脚本形式，主要面向炮集到速度的端到端映射，缺少测井约束机制，也缺少面向业务人员的数据管理、可视化与精度评估界面。</w:t>
            </w:r>
          </w:p>
          <w:p>
            <w:pPr>
              <w:spacing w:line="320" w:lineRule="auto"/>
              <w:ind w:firstLineChars="200" w:firstLine="420"/>
            </w:pPr>
            <w:r>
              <w:rPr>
                <w:b w:val="0"/>
                <w:sz w:val="21"/>
              </w:rPr>
              <w:t>本次开发目标：研究一种测井约束的深度学习井震联合速度建模方法，实现集“数据管理—预处理与井震标定—初始模型构建—AI 速度建模—可视化评估—成果导出”于一体的开源桌面系统；首先在真值已知的合成模型上验证流程，以传统插值方法作为基线，并通过盲井检验评估方法的可靠性。</w:t>
            </w:r>
          </w:p>
        </w:tc>
      </w:tr>
    </w:tbl>
    <w:p w:rsidR="00E60895" w:rsidRDefault="00E60895"/>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4226"/>
        <w:gridCol w:w="2000"/>
      </w:tblGrid>
      <w:tr w:rsidR="00E60895">
        <w:tblPrEx>
          <w:tblCellMar>
            <w:top w:w="0" w:type="dxa"/>
            <w:bottom w:w="0" w:type="dxa"/>
          </w:tblCellMar>
        </w:tblPrEx>
        <w:tc>
          <w:tcPr>
            <w:tcW w:w="9026" w:type="dxa"/>
            <w:gridSpan w:val="4"/>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keepNext/>
              <w:spacing w:line="360" w:lineRule="auto"/>
            </w:pPr>
            <w:r>
              <w:rPr>
                <w:rFonts w:ascii="黑体" w:eastAsia="黑体" w:hAnsi="黑体"/>
              </w:rPr>
              <w:t>二、需求分析</w:t>
            </w:r>
            <w:r>
              <w:rPr>
                <w:rFonts w:ascii="黑体" w:eastAsia="黑体" w:hAnsi="黑体"/>
              </w:rPr>
              <w:t xml:space="preserve"> —— </w:t>
            </w:r>
            <w:r>
              <w:rPr>
                <w:rFonts w:ascii="黑体" w:eastAsia="黑体" w:hAnsi="黑体"/>
              </w:rPr>
              <w:t>功能需求</w:t>
            </w:r>
          </w:p>
        </w:tc>
      </w:tr>
      <w:tr w:rsidR="00E60895">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keepNext/>
              <w:spacing w:line="320" w:lineRule="auto"/>
              <w:jc w:val="center"/>
            </w:pPr>
            <w:r>
              <w:rPr>
                <w:rFonts w:ascii="黑体" w:eastAsia="黑体" w:hAnsi="黑体"/>
                <w:sz w:val="22"/>
                <w:szCs w:val="22"/>
              </w:rPr>
              <w:t>编号</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keepNext/>
              <w:spacing w:line="320" w:lineRule="auto"/>
              <w:jc w:val="center"/>
            </w:pPr>
            <w:r>
              <w:rPr>
                <w:rFonts w:ascii="黑体" w:eastAsia="黑体" w:hAnsi="黑体"/>
                <w:sz w:val="22"/>
                <w:szCs w:val="22"/>
              </w:rPr>
              <w:t>功能模块</w:t>
            </w: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keepNext/>
              <w:spacing w:line="320" w:lineRule="auto"/>
              <w:jc w:val="center"/>
            </w:pPr>
            <w:r>
              <w:rPr>
                <w:rFonts w:ascii="黑体" w:eastAsia="黑体" w:hAnsi="黑体"/>
                <w:sz w:val="22"/>
                <w:szCs w:val="22"/>
              </w:rPr>
              <w:t>功能描述</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keepNext/>
              <w:spacing w:line="320" w:lineRule="auto"/>
              <w:jc w:val="center"/>
            </w:pPr>
            <w:r>
              <w:rPr>
                <w:rFonts w:ascii="黑体" w:eastAsia="黑体" w:hAnsi="黑体"/>
                <w:sz w:val="22"/>
                <w:szCs w:val="22"/>
              </w:rPr>
              <w:t>优先级</w:t>
            </w:r>
          </w:p>
        </w:tc>
      </w:tr>
      <w:tr w:rsidR="00E60895">
        <w:tblPrEx>
          <w:tblCellMar>
            <w:top w:w="0" w:type="dxa"/>
            <w:bottom w:w="0" w:type="dxa"/>
          </w:tblCellMar>
        </w:tblPrEx>
        <w:trPr>
          <w:trHeight w:val="560"/>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F1</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数据管理</w:t>
            </w: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新建、打开、保存工程；导入 SEG-Y、NPY、BIN 格式的地震剖面与速度模型，导入 LAS/CSV 格式测井曲线及井位坐标；浏览数据列表，查看道数、采样点数、采样间隔、网格范围等元信息，并进行格式与维度校验。</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pPr>
            <w:r>
              <w:rPr>
                <w:b w:val="0"/>
                <w:sz w:val="21"/>
              </w:rPr>
              <w:t>☑高 □中 □低</w:t>
            </w:r>
          </w:p>
        </w:tc>
      </w:tr>
      <w:tr w:rsidR="00E60895">
        <w:tblPrEx>
          <w:tblCellMar>
            <w:top w:w="0" w:type="dxa"/>
            <w:bottom w:w="0" w:type="dxa"/>
          </w:tblCellMar>
        </w:tblPrEx>
        <w:trPr>
          <w:trHeight w:val="560"/>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F2</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数据预处理与井震标定</w:t>
            </w: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测井曲线异常值剔除与缺失段插补；声波时差 DT 换算为纵波速度 Vp；按地震尺度对测井进行粗化（滑动平均/Backus 平均）；将井位投影到地震网格并提取井旁道；地震振幅归一化与网格重采样。</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pPr>
            <w:r>
              <w:rPr>
                <w:b w:val="0"/>
                <w:sz w:val="21"/>
              </w:rPr>
              <w:t>☑高 □中 □低</w:t>
            </w:r>
          </w:p>
        </w:tc>
      </w:tr>
      <w:tr w:rsidR="00E60895">
        <w:tblPrEx>
          <w:tblCellMar>
            <w:top w:w="0" w:type="dxa"/>
            <w:bottom w:w="0" w:type="dxa"/>
          </w:tblCellMar>
        </w:tblPrEx>
        <w:trPr>
          <w:trHeight w:val="560"/>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F3</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初始速度模型构建</w:t>
            </w: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基于井点速度进行反距离加权（IDW）、普通克里金、径向基函数（RBF）插值，生成低频背景速度模型，既作为 AI 网络的输入之一，也作为精度对比的传统基线方法。</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pPr>
            <w:r>
              <w:rPr>
                <w:b w:val="0"/>
                <w:sz w:val="21"/>
              </w:rPr>
              <w:t>□高 ☑中 □低</w:t>
            </w:r>
          </w:p>
        </w:tc>
      </w:tr>
      <w:tr w:rsidR="00E60895">
        <w:tblPrEx>
          <w:tblCellMar>
            <w:top w:w="0" w:type="dxa"/>
            <w:bottom w:w="0" w:type="dxa"/>
          </w:tblCellMar>
        </w:tblPrEx>
        <w:trPr>
          <w:trHeight w:val="560"/>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F4</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AI 井震联合速度建模</w:t>
            </w: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由已知模型或工区数据生成训练样本（随机抽取伪井、切片、数据增强）；配置网络结构与超参数；在后台线程中训练测井约束 U-Net[6] 并实时显示损失曲线；加载训练好的模型对目标剖面预测速度场。</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pPr>
            <w:r>
              <w:rPr>
                <w:b w:val="0"/>
                <w:sz w:val="21"/>
              </w:rPr>
              <w:t>☑高 □中 □低</w:t>
            </w:r>
          </w:p>
        </w:tc>
      </w:tr>
      <w:tr w:rsidR="00E60895">
        <w:tblPrEx>
          <w:tblCellMar>
            <w:top w:w="0" w:type="dxa"/>
            <w:bottom w:w="0" w:type="dxa"/>
          </w:tblCellMar>
        </w:tblPrEx>
        <w:trPr>
          <w:trHeight w:val="560"/>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F5</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结果可视化与精度评估</w:t>
            </w: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速度剖面、地震剖面、误差剖面的显示与色标调节；井位处预测曲线与实测曲线对比；留一法盲井检验；计算 RMSE、MAE、MAPE、SSIM、R² 等指标，并在固定测试集上与传统插值方法对比。</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pPr>
            <w:r>
              <w:rPr>
                <w:b w:val="0"/>
                <w:sz w:val="21"/>
              </w:rPr>
              <w:t>☑高 □中 □低</w:t>
            </w:r>
          </w:p>
        </w:tc>
      </w:tr>
      <w:tr w:rsidR="00E60895">
        <w:tblPrEx>
          <w:tblCellMar>
            <w:top w:w="0" w:type="dxa"/>
            <w:bottom w:w="0" w:type="dxa"/>
          </w:tblCellMar>
        </w:tblPrEx>
        <w:trPr>
          <w:trHeight w:val="560"/>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F6</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成果导出与报告</w:t>
            </w: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将速度场导出为 SEG-Y/NPY/BIN/CSV 格式；导出剖面图与对比图（PNG/PDF）；自动生成精度评估报告；管理模型权重与训练记录。</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pPr>
            <w:r>
              <w:rPr>
                <w:b w:val="0"/>
                <w:sz w:val="21"/>
              </w:rPr>
              <w:t>□高 ☑中 □低</w:t>
            </w:r>
          </w:p>
        </w:tc>
      </w:tr>
    </w:tbl>
    <w:p w:rsidR="00E60895" w:rsidRDefault="00593D25">
      <w:r>
        <w:br w:type="page"/>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0895">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keepNext/>
              <w:spacing w:line="360" w:lineRule="auto"/>
            </w:pPr>
            <w:r>
              <w:rPr>
                <w:rFonts w:ascii="黑体" w:eastAsia="黑体" w:hAnsi="黑体"/>
              </w:rPr>
              <w:lastRenderedPageBreak/>
              <w:t>非功能需求</w:t>
            </w:r>
          </w:p>
        </w:tc>
      </w:tr>
      <w:tr w:rsidR="00E60895">
        <w:tblPrEx>
          <w:tblCellMar>
            <w:top w:w="0" w:type="dxa"/>
            <w:bottom w:w="0" w:type="dxa"/>
          </w:tblCellMar>
        </w:tblPrEx>
        <w:trPr>
          <w:trHeight w:val="1500"/>
        </w:trPr>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20" w:lineRule="auto"/>
            </w:pPr>
            <w:r>
              <w:rPr>
                <w:b/>
                <w:sz w:val="21"/>
              </w:rPr>
              <w:t>（1）性能：</w:t>
            </w:r>
            <w:r>
              <w:rPr>
                <w:b w:val="0"/>
                <w:sz w:val="21"/>
              </w:rPr>
              <w:t>对 1601×401 规模的二维剖面，GPU 环境下单次预测不超过 5 s，CPU 环境下不超过 60 s；训练支持 GPU 加速，无 GPU 时自动回退到 CPU；训练、插值等耗时任务放在后台线程执行，界面保持响应。</w:t>
            </w:r>
          </w:p>
          <w:p>
            <w:pPr>
              <w:spacing w:line="320" w:lineRule="auto"/>
            </w:pPr>
            <w:r>
              <w:rPr>
                <w:b/>
                <w:sz w:val="21"/>
              </w:rPr>
              <w:t>（2）易用性：</w:t>
            </w:r>
            <w:r>
              <w:rPr>
                <w:b w:val="0"/>
                <w:sz w:val="21"/>
              </w:rPr>
              <w:t>按“导入—预处理—建模—评估—导出”的流程组织界面；关键参数提供默认值与说明提示；操作失败时给出明确的中文提示信息。</w:t>
            </w:r>
          </w:p>
          <w:p>
            <w:pPr>
              <w:spacing w:line="320" w:lineRule="auto"/>
            </w:pPr>
            <w:r>
              <w:rPr>
                <w:b/>
                <w:sz w:val="21"/>
              </w:rPr>
              <w:t>（3）可靠性：</w:t>
            </w:r>
            <w:r>
              <w:rPr>
                <w:b w:val="0"/>
                <w:sz w:val="21"/>
              </w:rPr>
              <w:t>导入时校验文件格式、网格维度与数值范围，防止非法数据进入计算；训练过程定期保存检查点，异常中断后可恢复；运行日志写入文件，便于排查问题。</w:t>
            </w:r>
          </w:p>
          <w:p>
            <w:pPr>
              <w:spacing w:line="320" w:lineRule="auto"/>
            </w:pPr>
            <w:r>
              <w:rPr>
                <w:b/>
                <w:sz w:val="21"/>
              </w:rPr>
              <w:t>（4）安全性：</w:t>
            </w:r>
            <w:r>
              <w:rPr>
                <w:b w:val="0"/>
                <w:sz w:val="21"/>
              </w:rPr>
              <w:t>工区原始数据均在本地处理且不上传；代码和脱敏示例数据可通过 GitHub 管理；工程文件与原始数据分开存放，处理过程不修改原始数据。</w:t>
            </w:r>
          </w:p>
          <w:p>
            <w:pPr>
              <w:spacing w:line="320" w:lineRule="auto"/>
            </w:pPr>
            <w:r>
              <w:rPr>
                <w:b/>
                <w:sz w:val="21"/>
              </w:rPr>
              <w:t>（5）兼容性：</w:t>
            </w:r>
            <w:r>
              <w:rPr>
                <w:b w:val="0"/>
                <w:sz w:val="21"/>
              </w:rPr>
              <w:t>支持 Windows 10/11 与 Python 3.10 及以上版本；兼容 SEG-Y rev1、LAS 2.0 等行业标准格式。</w:t>
            </w:r>
          </w:p>
          <w:p>
            <w:pPr>
              <w:spacing w:line="320" w:lineRule="auto"/>
            </w:pPr>
            <w:r>
              <w:rPr>
                <w:b/>
                <w:sz w:val="21"/>
              </w:rPr>
              <w:t>（6）可维护性与可扩展性：</w:t>
            </w:r>
            <w:r>
              <w:rPr>
                <w:b w:val="0"/>
                <w:sz w:val="21"/>
              </w:rPr>
              <w:t>采用分层架构与模块化设计，算法层与界面层解耦；代码遵循 PEP 8 规范，核心模块单元测试覆盖率不低于 70%；网络模型与插值方法通过统一接口注册，便于后续接入 Transformer、扩散模型等新方法。</w:t>
            </w:r>
          </w:p>
        </w:tc>
      </w:tr>
    </w:tbl>
    <w:p w:rsidR="00E60895" w:rsidRDefault="00E60895"/>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0895">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keepNext/>
              <w:spacing w:line="360" w:lineRule="auto"/>
            </w:pPr>
            <w:r>
              <w:rPr>
                <w:rFonts w:ascii="黑体" w:eastAsia="黑体" w:hAnsi="黑体"/>
              </w:rPr>
              <w:t>三、系统设计</w:t>
            </w:r>
          </w:p>
        </w:tc>
      </w:tr>
      <w:tr w:rsidR="00E60895">
        <w:tblPrEx>
          <w:tblCellMar>
            <w:top w:w="0" w:type="dxa"/>
            <w:bottom w:w="0" w:type="dxa"/>
          </w:tblCellMar>
        </w:tblPrEx>
        <w:trPr>
          <w:trHeight w:val="3600"/>
        </w:trPr>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20" w:lineRule="auto"/>
            </w:pPr>
            <w:r>
              <w:rPr>
                <w:b/>
                <w:sz w:val="21"/>
              </w:rPr>
              <w:t>1. 总体架构</w:t>
            </w:r>
          </w:p>
          <w:p>
            <w:pPr>
              <w:spacing w:line="320" w:lineRule="auto"/>
              <w:ind w:firstLineChars="200" w:firstLine="420"/>
            </w:pPr>
            <w:r>
              <w:rPr>
                <w:b w:val="0"/>
                <w:sz w:val="21"/>
              </w:rPr>
              <w:t>系统采用单机桌面应用形态，内部按分层架构组织，自上而下分为表示层、业务逻辑层、算法层和数据访问层。表示层基于 PySide6 实现图形界面与交互；业务逻辑层负责流程编排与任务调度，训练等耗时任务在后台线程中执行；算法层封装测井处理、传统插值、深度学习模型与精度指标等核心算法，不依赖界面，可单独进行单元测试与命令行调用；数据访问层统一负责各类数据文件的读写和 SQLite 工程库的访问。各层之间只通过接口单向依赖。</w:t>
            </w:r>
          </w:p>
          <w:p>
            <w:pPr>
              <w:spacing w:line="320" w:lineRule="auto"/>
              <w:jc w:val="center"/>
            </w:pPr>
            <w:r>
              <w:drawing>
                <wp:inline xmlns:a="http://schemas.openxmlformats.org/drawingml/2006/main" xmlns:pic="http://schemas.openxmlformats.org/drawingml/2006/picture">
                  <wp:extent cx="5220000" cy="331144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220000" cy="3311449"/>
                          </a:xfrm>
                          <a:prstGeom prst="rect"/>
                        </pic:spPr>
                      </pic:pic>
                    </a:graphicData>
                  </a:graphic>
                </wp:inline>
              </w:drawing>
            </w:r>
          </w:p>
          <w:p>
            <w:pPr>
              <w:spacing w:line="320" w:lineRule="auto"/>
              <w:jc w:val="center"/>
            </w:pPr>
            <w:r>
              <w:rPr>
                <w:b w:val="0"/>
                <w:sz w:val="18"/>
              </w:rPr>
              <w:t>图1  系统总体架构图</w:t>
            </w:r>
          </w:p>
          <w:p>
            <w:pPr>
              <w:spacing w:line="320" w:lineRule="auto"/>
            </w:pPr>
            <w:r>
              <w:rPr>
                <w:b/>
                <w:sz w:val="21"/>
              </w:rPr>
              <w:t>2. 功能模块划分</w:t>
            </w:r>
          </w:p>
          <w:p>
            <w:pPr>
              <w:spacing w:line="320" w:lineRule="auto"/>
              <w:ind w:firstLineChars="200" w:firstLine="420"/>
            </w:pPr>
            <w:r>
              <w:rPr>
                <w:b w:val="0"/>
                <w:sz w:val="21"/>
              </w:rPr>
              <w:t>系统划分为数据管理、预处理与标定、初始模型构建、AI 速度建模、可视化与评估、成果导出六个功能模块，与需求分析中的 F1～F6 一一对应，功能结构如图2所示。</w:t>
            </w:r>
          </w:p>
          <w:p>
            <w:pPr>
              <w:spacing w:line="320" w:lineRule="auto"/>
              <w:jc w:val="center"/>
            </w:pPr>
            <w:r>
              <w:drawing>
                <wp:inline xmlns:a="http://schemas.openxmlformats.org/drawingml/2006/main" xmlns:pic="http://schemas.openxmlformats.org/drawingml/2006/picture">
                  <wp:extent cx="5400000" cy="2755252"/>
                  <wp:docPr id="2" name="Picture 2"/>
                  <wp:cNvGraphicFramePr>
                    <a:graphicFrameLocks noChangeAspect="1"/>
                  </wp:cNvGraphicFramePr>
                  <a:graphic>
                    <a:graphicData uri="http://schemas.openxmlformats.org/drawingml/2006/picture">
                      <pic:pic>
                        <pic:nvPicPr>
                          <pic:cNvPr id="0" name="function_tree.png"/>
                          <pic:cNvPicPr/>
                        </pic:nvPicPr>
                        <pic:blipFill>
                          <a:blip r:embed="rId12"/>
                          <a:stretch>
                            <a:fillRect/>
                          </a:stretch>
                        </pic:blipFill>
                        <pic:spPr>
                          <a:xfrm>
                            <a:off x="0" y="0"/>
                            <a:ext cx="5400000" cy="2755252"/>
                          </a:xfrm>
                          <a:prstGeom prst="rect"/>
                        </pic:spPr>
                      </pic:pic>
                    </a:graphicData>
                  </a:graphic>
                </wp:inline>
              </w:drawing>
            </w:r>
          </w:p>
          <w:p>
            <w:pPr>
              <w:spacing w:line="320" w:lineRule="auto"/>
              <w:jc w:val="center"/>
            </w:pPr>
            <w:r>
              <w:rPr>
                <w:b w:val="0"/>
                <w:sz w:val="18"/>
              </w:rPr>
              <w:t>图2  系统功能结构图</w:t>
            </w:r>
          </w:p>
          <w:p>
            <w:pPr>
              <w:spacing w:line="320" w:lineRule="auto"/>
              <w:ind w:firstLineChars="200" w:firstLine="420"/>
            </w:pPr>
            <w:r>
              <w:rPr>
                <w:b w:val="0"/>
                <w:sz w:val="21"/>
              </w:rPr>
              <w:t>核心算法的技术路线如图3所示：测井曲线经清洗、DT→Vp 换算并粗化到地震尺度后，由井点插值得到低频背景速度模型；网络采用 U-Net[6] 编码—解码结构，以归一化地震振幅、低频背景速度和井位掩码三个通道作为输入，以速度场作为输出；损失函数由全场均方误差与井位处的约束项加权组成（L=MSE+λ·MSE_well），使预测结果在井点处与实测速度保持一致。监督训练阶段主要在真值已知的 Marmousi/Marmousi2 合成模型上随机抽取若干道作为“伪井”并随机切片生成样本；真实测井数据用于预处理验证、盲井测试或推理演示；测试阶段在未参与训练的区域和盲井上，与传统插值基线进行定量对比。</w:t>
            </w:r>
          </w:p>
          <w:p>
            <w:pPr>
              <w:spacing w:line="320" w:lineRule="auto"/>
              <w:jc w:val="center"/>
            </w:pPr>
            <w:r>
              <w:drawing>
                <wp:inline xmlns:a="http://schemas.openxmlformats.org/drawingml/2006/main" xmlns:pic="http://schemas.openxmlformats.org/drawingml/2006/picture">
                  <wp:extent cx="5400000" cy="2468571"/>
                  <wp:docPr id="3" name="Picture 3"/>
                  <wp:cNvGraphicFramePr>
                    <a:graphicFrameLocks noChangeAspect="1"/>
                  </wp:cNvGraphicFramePr>
                  <a:graphic>
                    <a:graphicData uri="http://schemas.openxmlformats.org/drawingml/2006/picture">
                      <pic:pic>
                        <pic:nvPicPr>
                          <pic:cNvPr id="0" name="roadmap.png"/>
                          <pic:cNvPicPr/>
                        </pic:nvPicPr>
                        <pic:blipFill>
                          <a:blip r:embed="rId13"/>
                          <a:stretch>
                            <a:fillRect/>
                          </a:stretch>
                        </pic:blipFill>
                        <pic:spPr>
                          <a:xfrm>
                            <a:off x="0" y="0"/>
                            <a:ext cx="5400000" cy="2468571"/>
                          </a:xfrm>
                          <a:prstGeom prst="rect"/>
                        </pic:spPr>
                      </pic:pic>
                    </a:graphicData>
                  </a:graphic>
                </wp:inline>
              </w:drawing>
            </w:r>
          </w:p>
          <w:p>
            <w:pPr>
              <w:spacing w:line="320" w:lineRule="auto"/>
              <w:jc w:val="center"/>
            </w:pPr>
            <w:r>
              <w:rPr>
                <w:b w:val="0"/>
                <w:sz w:val="18"/>
              </w:rPr>
              <w:t>图3  测井约束的井震联合速度建模技术路线</w:t>
            </w:r>
          </w:p>
          <w:p>
            <w:pPr>
              <w:spacing w:line="320" w:lineRule="auto"/>
            </w:pPr>
            <w:r>
              <w:rPr>
                <w:b/>
                <w:sz w:val="21"/>
              </w:rPr>
              <w:t>3. 数据设计</w:t>
            </w:r>
          </w:p>
          <w:p>
            <w:pPr>
              <w:spacing w:line="320" w:lineRule="auto"/>
            </w:pPr>
            <w:r>
              <w:rPr>
                <w:b/>
                <w:sz w:val="21"/>
              </w:rPr>
              <w:t>数据来源：</w:t>
            </w:r>
            <w:r>
              <w:rPr>
                <w:b w:val="0"/>
                <w:sz w:val="21"/>
              </w:rPr>
              <w:t>① Marmousi2 模型[1]：纵波速度模型（1601×401 网格，速度 1.03～4.70 km/s）及合成地震剖面（2721×701）。两类数据在训练前按坐标范围、采样间隔和网格尺寸进行裁剪与重采样，真值已知，用于训练与定量评估；② Marmousi 原始速度模型（2301×751 网格，速度 1.5～5.5 km/s），用于跨模型泛化测试；③ 新西兰 Taranaki 盆地整理测井数据集[9]（含声波、密度、伽马等曲线及井位坐标），用于测井读取与预处理模块的开发和验证。</w:t>
            </w:r>
          </w:p>
          <w:p>
            <w:pPr>
              <w:spacing w:line="320" w:lineRule="auto"/>
            </w:pPr>
            <w:r>
              <w:rPr>
                <w:b/>
                <w:sz w:val="21"/>
              </w:rPr>
              <w:t>文件格式：</w:t>
            </w:r>
            <w:r>
              <w:rPr>
                <w:b w:val="0"/>
                <w:sz w:val="21"/>
              </w:rPr>
              <w:t>地震与速度数据体采用 SEG-Y、NPY、BIN（float32）；测井采用 LAS 2.0/CSV；网络权重采用 PyTorch .pt 格式；工程配置采用 JSON。大体量数据体以文件形式存储，数据库只保存元数据与路径。</w:t>
            </w:r>
          </w:p>
          <w:p>
            <w:pPr>
              <w:spacing w:line="320" w:lineRule="auto"/>
            </w:pPr>
            <w:r>
              <w:rPr>
                <w:b/>
                <w:sz w:val="21"/>
              </w:rPr>
              <w:t>数据库表结构（SQLite）：</w:t>
            </w:r>
            <w:r>
              <w:rPr>
                <w:b w:val="0"/>
                <w:sz w:val="21"/>
              </w:rPr>
            </w:r>
          </w:p>
          <w:p>
            <w:pPr>
              <w:spacing w:line="320" w:lineRule="auto"/>
              <w:jc w:val="left"/>
            </w:pPr>
            <w:r>
              <w:rPr>
                <w:b w:val="0"/>
                <w:sz w:val="21"/>
              </w:rPr>
              <w:t>project（工程）：project_id 主键，name，root_path，description，created_at</w:t>
            </w:r>
          </w:p>
          <w:p>
            <w:pPr>
              <w:spacing w:line="320" w:lineRule="auto"/>
              <w:jc w:val="left"/>
            </w:pPr>
            <w:r>
              <w:rPr>
                <w:b w:val="0"/>
                <w:sz w:val="21"/>
              </w:rPr>
              <w:t>dataset（数据体）：dataset_id 主键，project_id 外键，type（地震/速度/结果），file_path，format，n_traces，n_samples，dx，dz</w:t>
            </w:r>
          </w:p>
          <w:p>
            <w:pPr>
              <w:spacing w:line="320" w:lineRule="auto"/>
              <w:jc w:val="left"/>
            </w:pPr>
            <w:r>
              <w:rPr>
                <w:b w:val="0"/>
                <w:sz w:val="21"/>
              </w:rPr>
              <w:t>well（井）：well_id 主键，project_id 外键，name，x，y，trace_index（投影道号），kb（补心海拔）</w:t>
            </w:r>
          </w:p>
          <w:p>
            <w:pPr>
              <w:spacing w:line="320" w:lineRule="auto"/>
              <w:jc w:val="left"/>
            </w:pPr>
            <w:r>
              <w:rPr>
                <w:b w:val="0"/>
                <w:sz w:val="21"/>
              </w:rPr>
              <w:t>well_log（测井曲线）：log_id 主键，well_id 外键，curve_name，unit，file_path，depth_start，depth_end，step</w:t>
            </w:r>
          </w:p>
          <w:p>
            <w:pPr>
              <w:spacing w:line="320" w:lineRule="auto"/>
              <w:jc w:val="left"/>
            </w:pPr>
            <w:r>
              <w:rPr>
                <w:b w:val="0"/>
                <w:sz w:val="21"/>
              </w:rPr>
              <w:t>model_run（建模任务）：run_id 主键，project_id 外键，method，params_json，weight_path，status，result_dataset_id 外键，started_at，finished_at</w:t>
            </w:r>
          </w:p>
          <w:p>
            <w:pPr>
              <w:spacing w:line="320" w:lineRule="auto"/>
              <w:jc w:val="left"/>
            </w:pPr>
            <w:r>
              <w:rPr>
                <w:b w:val="0"/>
                <w:sz w:val="21"/>
              </w:rPr>
              <w:t>evaluation（评估记录）：eval_id 主键，run_id 外键，metric，value，blind_well_id 外键（可空）</w:t>
            </w:r>
          </w:p>
          <w:p>
            <w:pPr>
              <w:spacing w:line="320" w:lineRule="auto"/>
              <w:ind w:firstLineChars="200" w:firstLine="420"/>
            </w:pPr>
            <w:r>
              <w:rPr>
                <w:b w:val="0"/>
                <w:sz w:val="21"/>
              </w:rPr>
              <w:t>实体关系：一个工程包含多个数据体和多口井（1:N）；一口井有多条测井曲线（1:N）；一个工程可发起多次建模任务（1:N）；每次建模任务生成一个结果数据体（1:1）和多条评估记录（1:N）。</w:t>
            </w:r>
          </w:p>
          <w:p>
            <w:pPr>
              <w:spacing w:line="320" w:lineRule="auto"/>
            </w:pPr>
            <w:r>
              <w:rPr>
                <w:b/>
                <w:sz w:val="21"/>
              </w:rPr>
              <w:t>4. 界面设计</w:t>
            </w:r>
          </w:p>
          <w:p>
            <w:pPr>
              <w:spacing w:line="320" w:lineRule="auto"/>
              <w:ind w:firstLineChars="200" w:firstLine="420"/>
            </w:pPr>
            <w:r>
              <w:rPr>
                <w:b w:val="0"/>
                <w:sz w:val="21"/>
              </w:rPr>
              <w:t>主窗口采用经典的“工程树 + 绘图区 + 参数面板”布局：顶部为菜单栏与工具栏；左侧为工程树，列出数据体、井和建模任务；中部为多标签页绘图区，显示地震剖面、速度剖面、误差剖面与井曲线对比；右侧为参数面板，随当前步骤切换内容；底部为日志与进度栏。</w:t>
            </w:r>
          </w:p>
          <w:p>
            <w:pPr>
              <w:spacing w:line="320" w:lineRule="auto"/>
              <w:ind w:firstLineChars="200" w:firstLine="420"/>
            </w:pPr>
            <w:r>
              <w:rPr>
                <w:b w:val="0"/>
                <w:sz w:val="21"/>
              </w:rPr>
              <w:t>主要界面包括：工程与数据导入界面、预处理界面（测井曲线编辑、DT→Vp 换算、粗化前后对比）、建模界面（选择方法、设置超参数、实时损失曲线）、评估界面（剖面对比、井曲线对比、指标表）和导出界面。典型交互流程为：新建工程 → 导入数据 → 预处理与井震标定 → 构建初始模型 → 训练或加载 AI 模型并预测 → 结果评估与对比 → 导出成果。</w:t>
            </w:r>
          </w:p>
        </w:tc>
      </w:tr>
    </w:tbl>
    <w:p w:rsidR="00E60895" w:rsidRDefault="00E60895"/>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60895">
        <w:tblPrEx>
          <w:tblCellMar>
            <w:top w:w="0" w:type="dxa"/>
            <w:bottom w:w="0" w:type="dxa"/>
          </w:tblCellMar>
        </w:tblPrEx>
        <w:tc>
          <w:tcPr>
            <w:tcW w:w="9026" w:type="dxa"/>
            <w:gridSpan w:val="2"/>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keepNext/>
              <w:spacing w:line="360" w:lineRule="auto"/>
            </w:pPr>
            <w:r>
              <w:rPr>
                <w:rFonts w:ascii="黑体" w:eastAsia="黑体" w:hAnsi="黑体"/>
              </w:rPr>
              <w:t>四、开发环境与技术选型</w:t>
            </w:r>
          </w:p>
        </w:tc>
      </w:tr>
      <w:tr w:rsidR="00E60895">
        <w:tblPrEx>
          <w:tblCellMar>
            <w:top w:w="0" w:type="dxa"/>
            <w:bottom w:w="0" w:type="dxa"/>
          </w:tblCellMar>
        </w:tblPrEx>
        <w:trPr>
          <w:trHeight w:val="520"/>
        </w:trPr>
        <w:tc>
          <w:tcPr>
            <w:tcW w:w="2600"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spacing w:line="320" w:lineRule="auto"/>
              <w:jc w:val="center"/>
            </w:pPr>
            <w:r>
              <w:rPr>
                <w:sz w:val="22"/>
                <w:szCs w:val="22"/>
              </w:rPr>
              <w:t>开发语言</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pPr>
            <w:r>
              <w:rPr>
                <w:b w:val="0"/>
                <w:sz w:val="21"/>
              </w:rPr>
              <w:t>□ C#   □ C++   □ Java   ☑ Python   □ 其他：</w:t>
            </w:r>
          </w:p>
        </w:tc>
      </w:tr>
      <w:tr w:rsidR="00E60895">
        <w:tblPrEx>
          <w:tblCellMar>
            <w:top w:w="0" w:type="dxa"/>
            <w:bottom w:w="0" w:type="dxa"/>
          </w:tblCellMar>
        </w:tblPrEx>
        <w:trPr>
          <w:trHeight w:val="520"/>
        </w:trPr>
        <w:tc>
          <w:tcPr>
            <w:tcW w:w="2600"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spacing w:line="320" w:lineRule="auto"/>
              <w:jc w:val="center"/>
            </w:pPr>
            <w:r>
              <w:rPr>
                <w:sz w:val="22"/>
                <w:szCs w:val="22"/>
              </w:rPr>
              <w:t>框架</w:t>
            </w:r>
            <w:r>
              <w:rPr>
                <w:sz w:val="22"/>
                <w:szCs w:val="22"/>
              </w:rPr>
              <w:t>/</w:t>
            </w:r>
            <w:r>
              <w:rPr>
                <w:sz w:val="22"/>
                <w:szCs w:val="22"/>
              </w:rPr>
              <w:t>界面技术</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60" w:lineRule="auto"/>
              <w:jc w:val="left"/>
            </w:pPr>
            <w:r>
              <w:rPr>
                <w:b w:val="0"/>
                <w:sz w:val="21"/>
              </w:rPr>
              <w:t>界面：PySide6（Qt for Python），绘图：Matplotlib / pyqtgraph</w:t>
            </w:r>
          </w:p>
          <w:p>
            <w:pPr>
              <w:spacing w:line="360" w:lineRule="auto"/>
              <w:jc w:val="left"/>
            </w:pPr>
            <w:r>
              <w:rPr>
                <w:b w:val="0"/>
                <w:sz w:val="21"/>
              </w:rPr>
              <w:t>深度学习：PyTorch；科学计算：NumPy、SciPy、scikit-learn、PyKrige</w:t>
            </w:r>
          </w:p>
          <w:p>
            <w:pPr>
              <w:spacing w:line="360" w:lineRule="auto"/>
              <w:jc w:val="left"/>
            </w:pPr>
            <w:r>
              <w:rPr>
                <w:b w:val="0"/>
                <w:sz w:val="21"/>
              </w:rPr>
              <w:t>数据读写：segyio（SEG-Y）、lasio（LAS）、pandas；打包：PyInstaller</w:t>
            </w:r>
          </w:p>
        </w:tc>
      </w:tr>
      <w:tr w:rsidR="00E60895">
        <w:tblPrEx>
          <w:tblCellMar>
            <w:top w:w="0" w:type="dxa"/>
            <w:bottom w:w="0" w:type="dxa"/>
          </w:tblCellMar>
        </w:tblPrEx>
        <w:trPr>
          <w:trHeight w:val="520"/>
        </w:trPr>
        <w:tc>
          <w:tcPr>
            <w:tcW w:w="2600"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spacing w:line="320" w:lineRule="auto"/>
              <w:jc w:val="center"/>
            </w:pPr>
            <w:r>
              <w:rPr>
                <w:sz w:val="22"/>
                <w:szCs w:val="22"/>
              </w:rPr>
              <w:t>数据库</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60" w:lineRule="auto"/>
              <w:jc w:val="left"/>
            </w:pPr>
            <w:r>
              <w:rPr>
                <w:b w:val="0"/>
                <w:sz w:val="21"/>
              </w:rPr>
              <w:t>SQLite 3（Python 内置 sqlite3 模块），存储工程、数据体、井、建模任务与评估记录等元数据；大体量数据体以文件形式存储</w:t>
            </w:r>
          </w:p>
        </w:tc>
      </w:tr>
      <w:tr w:rsidR="00E60895">
        <w:tblPrEx>
          <w:tblCellMar>
            <w:top w:w="0" w:type="dxa"/>
            <w:bottom w:w="0" w:type="dxa"/>
          </w:tblCellMar>
        </w:tblPrEx>
        <w:trPr>
          <w:trHeight w:val="520"/>
        </w:trPr>
        <w:tc>
          <w:tcPr>
            <w:tcW w:w="2600"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spacing w:line="320" w:lineRule="auto"/>
              <w:jc w:val="center"/>
            </w:pPr>
            <w:r>
              <w:rPr>
                <w:sz w:val="22"/>
                <w:szCs w:val="22"/>
              </w:rPr>
              <w:t>开发工具（</w:t>
            </w:r>
            <w:r>
              <w:rPr>
                <w:sz w:val="22"/>
                <w:szCs w:val="22"/>
              </w:rPr>
              <w:t>IDE</w:t>
            </w:r>
            <w:r>
              <w:rPr>
                <w:sz w:val="22"/>
                <w:szCs w:val="22"/>
              </w:rPr>
              <w:t>）</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60" w:lineRule="auto"/>
              <w:jc w:val="left"/>
            </w:pPr>
            <w:r>
              <w:rPr>
                <w:b w:val="0"/>
                <w:sz w:val="21"/>
              </w:rPr>
              <w:t>Visual Studio Code（主力开发）、Jupyter Notebook（算法原型实验）</w:t>
            </w:r>
          </w:p>
        </w:tc>
      </w:tr>
      <w:tr w:rsidR="00E60895">
        <w:tblPrEx>
          <w:tblCellMar>
            <w:top w:w="0" w:type="dxa"/>
            <w:bottom w:w="0" w:type="dxa"/>
          </w:tblCellMar>
        </w:tblPrEx>
        <w:trPr>
          <w:trHeight w:val="520"/>
        </w:trPr>
        <w:tc>
          <w:tcPr>
            <w:tcW w:w="2600"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spacing w:line="320" w:lineRule="auto"/>
              <w:jc w:val="center"/>
            </w:pPr>
            <w:r>
              <w:rPr>
                <w:sz w:val="22"/>
                <w:szCs w:val="22"/>
              </w:rPr>
              <w:t>运行平台</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pPr>
            <w:r>
              <w:rPr>
                <w:b w:val="0"/>
                <w:sz w:val="21"/>
              </w:rPr>
              <w:t>☑ Windows   □ Linux   □ Web   □ 其他：</w:t>
            </w:r>
          </w:p>
        </w:tc>
      </w:tr>
      <w:tr w:rsidR="00E60895">
        <w:tblPrEx>
          <w:tblCellMar>
            <w:top w:w="0" w:type="dxa"/>
            <w:bottom w:w="0" w:type="dxa"/>
          </w:tblCellMar>
        </w:tblPrEx>
        <w:trPr>
          <w:trHeight w:val="520"/>
        </w:trPr>
        <w:tc>
          <w:tcPr>
            <w:tcW w:w="2600"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spacing w:line="320" w:lineRule="auto"/>
              <w:jc w:val="center"/>
            </w:pPr>
            <w:r>
              <w:rPr>
                <w:sz w:val="22"/>
                <w:szCs w:val="22"/>
              </w:rPr>
              <w:t>版本管理</w:t>
            </w:r>
          </w:p>
        </w:tc>
        <w:tc>
          <w:tcPr>
            <w:tcW w:w="6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Git + GitHub，仓库地址：https://github.com/Lx123759/well-seismic-velocity</w:t>
            </w:r>
          </w:p>
        </w:tc>
      </w:tr>
    </w:tbl>
    <w:p w:rsidR="00E60895" w:rsidRDefault="00593D25">
      <w:r>
        <w:br w:type="page"/>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0895">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keepNext/>
              <w:spacing w:line="360" w:lineRule="auto"/>
            </w:pPr>
            <w:r>
              <w:rPr>
                <w:rFonts w:ascii="黑体" w:eastAsia="黑体" w:hAnsi="黑体"/>
              </w:rPr>
              <w:lastRenderedPageBreak/>
              <w:t>五、开发过程与项目管理</w:t>
            </w:r>
          </w:p>
        </w:tc>
      </w:tr>
      <w:tr w:rsidR="00E60895">
        <w:tblPrEx>
          <w:tblCellMar>
            <w:top w:w="0" w:type="dxa"/>
            <w:bottom w:w="0" w:type="dxa"/>
          </w:tblCellMar>
        </w:tblPrEx>
        <w:trPr>
          <w:trHeight w:val="1400"/>
        </w:trPr>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20" w:lineRule="auto"/>
            </w:pPr>
            <w:r>
              <w:rPr>
                <w:b w:val="0"/>
                <w:sz w:val="21"/>
              </w:rPr>
              <w:t>开发模型：□ 瀑布模型   ☑ 增量模型   □ 敏捷开发（Scrum）   □ 其他：</w:t>
            </w:r>
          </w:p>
          <w:p>
            <w:pPr>
              <w:spacing w:line="320" w:lineRule="auto"/>
            </w:pPr>
            <w:r>
              <w:rPr>
                <w:b/>
                <w:sz w:val="21"/>
              </w:rPr>
              <w:t>选择理由：</w:t>
            </w:r>
            <w:r>
              <w:rPr>
                <w:b w:val="0"/>
                <w:sz w:val="21"/>
              </w:rPr>
              <w:t>系统功能可以自然分解为相对独立的模块，而最核心、风险最大的是 AI 建模算法能否达到预期精度。采用增量模型[10]，可以先交付包含“数据导入—传统插值—AI 建模”核心链路的可运行版本，尽早验证算法可行性，再逐步补齐预处理、评估、导出与界面功能，从而降低算法效果不达预期带来的整体风险。每个增量内部按“设计—编码—测试”的小迭代推进。</w:t>
            </w:r>
          </w:p>
          <w:p>
            <w:pPr>
              <w:spacing w:line="320" w:lineRule="auto"/>
            </w:pPr>
            <w:r>
              <w:rPr>
                <w:b/>
                <w:sz w:val="21"/>
              </w:rPr>
              <w:t>迭代计划：</w:t>
            </w:r>
            <w:r>
              <w:rPr>
                <w:b w:val="0"/>
                <w:sz w:val="21"/>
              </w:rPr>
            </w:r>
          </w:p>
          <w:p>
            <w:pPr>
              <w:spacing w:line="320" w:lineRule="auto"/>
              <w:jc w:val="left"/>
            </w:pPr>
            <w:r>
              <w:rPr>
                <w:b w:val="0"/>
                <w:sz w:val="21"/>
              </w:rPr>
              <w:t>第一增量（核心链路，v0.1）：F1 数据导入、F3 传统插值、F4 测井约束 U-Net 训练与预测（先以命令行形式实现），在 Marmousi2 上跑通并验证方法可行性。</w:t>
            </w:r>
          </w:p>
          <w:p>
            <w:pPr>
              <w:spacing w:line="320" w:lineRule="auto"/>
              <w:jc w:val="left"/>
            </w:pPr>
            <w:r>
              <w:rPr>
                <w:b w:val="0"/>
                <w:sz w:val="21"/>
              </w:rPr>
              <w:t>第二增量（功能完善，v0.2）：搭建 PySide6 主界面，完成 F2 预处理与井震标定、F5 可视化与精度评估、F6 成果导出与报告。</w:t>
            </w:r>
          </w:p>
          <w:p>
            <w:pPr>
              <w:spacing w:line="320" w:lineRule="auto"/>
              <w:jc w:val="left"/>
            </w:pPr>
            <w:r>
              <w:rPr>
                <w:b w:val="0"/>
                <w:sz w:val="21"/>
              </w:rPr>
              <w:t>第三增量（交付版本，v1.0）：性能优化与异常处理，完成系统测试与缺陷修复、打包发布与文档编写。</w:t>
            </w:r>
          </w:p>
          <w:p>
            <w:pPr>
              <w:spacing w:line="320" w:lineRule="auto"/>
            </w:pPr>
            <w:r>
              <w:rPr>
                <w:b/>
                <w:sz w:val="21"/>
              </w:rPr>
              <w:t>需求变更管理：</w:t>
            </w:r>
            <w:r>
              <w:rPr>
                <w:b w:val="0"/>
                <w:sz w:val="21"/>
              </w:rPr>
              <w:t>需求按功能编号（F1～F6）登记在 GitHub Issues 中；提出变更时先评估其对进度和已完成模块的影响，经与指导教师确认后纳入下一个增量；每个增量结束时同步更新需求规格说明书，并打版本标签。</w:t>
            </w:r>
          </w:p>
        </w:tc>
      </w:tr>
    </w:tbl>
    <w:p w:rsidR="00E60895" w:rsidRDefault="00E60895"/>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826"/>
      </w:tblGrid>
      <w:tr w:rsidR="00E60895">
        <w:tblPrEx>
          <w:tblCellMar>
            <w:top w:w="0" w:type="dxa"/>
            <w:bottom w:w="0" w:type="dxa"/>
          </w:tblCellMar>
        </w:tblPrEx>
        <w:tc>
          <w:tcPr>
            <w:tcW w:w="9026" w:type="dxa"/>
            <w:gridSpan w:val="3"/>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keepNext/>
              <w:spacing w:line="360" w:lineRule="auto"/>
            </w:pPr>
            <w:r>
              <w:rPr>
                <w:rFonts w:ascii="黑体" w:eastAsia="黑体" w:hAnsi="黑体"/>
              </w:rPr>
              <w:t>小组分工</w:t>
            </w:r>
          </w:p>
        </w:tc>
      </w:tr>
      <w:tr w:rsidR="00E60895">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keepNext/>
              <w:spacing w:line="320" w:lineRule="auto"/>
              <w:jc w:val="center"/>
            </w:pPr>
            <w:r>
              <w:rPr>
                <w:rFonts w:ascii="黑体" w:eastAsia="黑体" w:hAnsi="黑体"/>
                <w:sz w:val="22"/>
                <w:szCs w:val="22"/>
              </w:rPr>
              <w:t>成员</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keepNext/>
              <w:spacing w:line="320" w:lineRule="auto"/>
              <w:jc w:val="center"/>
            </w:pPr>
            <w:r>
              <w:rPr>
                <w:rFonts w:ascii="黑体" w:eastAsia="黑体" w:hAnsi="黑体"/>
                <w:sz w:val="22"/>
                <w:szCs w:val="22"/>
              </w:rPr>
              <w:t>负责模块</w:t>
            </w:r>
          </w:p>
        </w:tc>
        <w:tc>
          <w:tcPr>
            <w:tcW w:w="4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keepNext/>
              <w:spacing w:line="320" w:lineRule="auto"/>
              <w:jc w:val="center"/>
            </w:pPr>
            <w:r>
              <w:rPr>
                <w:rFonts w:ascii="黑体" w:eastAsia="黑体" w:hAnsi="黑体"/>
                <w:sz w:val="22"/>
                <w:szCs w:val="22"/>
              </w:rPr>
              <w:t>主要工作内容</w:t>
            </w:r>
          </w:p>
        </w:tc>
      </w:tr>
      <w:tr w:rsidR="00E60895">
        <w:tblPrEx>
          <w:tblCellMar>
            <w:top w:w="0" w:type="dxa"/>
            <w:bottom w:w="0" w:type="dxa"/>
          </w:tblCellMar>
        </w:tblPrEx>
        <w:trPr>
          <w:trHeight w:val="520"/>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刘星</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F1 数据管理</w:t>
            </w:r>
          </w:p>
          <w:p>
            <w:pPr>
              <w:spacing w:line="320" w:lineRule="auto"/>
              <w:jc w:val="center"/>
            </w:pPr>
            <w:r>
              <w:rPr>
                <w:b w:val="0"/>
                <w:sz w:val="21"/>
              </w:rPr>
              <w:t>F2 预处理与标定</w:t>
            </w:r>
          </w:p>
        </w:tc>
        <w:tc>
          <w:tcPr>
            <w:tcW w:w="4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数据读写模块（segyio/lasio）、SQLite 工程库设计；测井清洗、DT→Vp 换算与粗化、井旁道提取</w:t>
            </w:r>
          </w:p>
        </w:tc>
      </w:tr>
      <w:tr w:rsidR="00E60895">
        <w:tblPrEx>
          <w:tblCellMar>
            <w:top w:w="0" w:type="dxa"/>
            <w:bottom w:w="0" w:type="dxa"/>
          </w:tblCellMar>
        </w:tblPrEx>
        <w:trPr>
          <w:trHeight w:val="520"/>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刘星</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F3 初始模型构建</w:t>
            </w:r>
          </w:p>
          <w:p>
            <w:pPr>
              <w:spacing w:line="320" w:lineRule="auto"/>
              <w:jc w:val="center"/>
            </w:pPr>
            <w:r>
              <w:rPr>
                <w:b w:val="0"/>
                <w:sz w:val="21"/>
              </w:rPr>
              <w:t>F4 AI 速度建模</w:t>
            </w:r>
          </w:p>
        </w:tc>
        <w:tc>
          <w:tcPr>
            <w:tcW w:w="4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传统插值基线实现；训练样本生成、测井约束 U-Net 设计、训练调参与预测接口</w:t>
            </w:r>
          </w:p>
        </w:tc>
      </w:tr>
      <w:tr w:rsidR="00E60895">
        <w:tblPrEx>
          <w:tblCellMar>
            <w:top w:w="0" w:type="dxa"/>
            <w:bottom w:w="0" w:type="dxa"/>
          </w:tblCellMar>
        </w:tblPrEx>
        <w:trPr>
          <w:trHeight w:val="520"/>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刘星</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F5 可视化与评估</w:t>
            </w:r>
          </w:p>
          <w:p>
            <w:pPr>
              <w:spacing w:line="320" w:lineRule="auto"/>
              <w:jc w:val="center"/>
            </w:pPr>
            <w:r>
              <w:rPr>
                <w:b w:val="0"/>
                <w:sz w:val="21"/>
              </w:rPr>
              <w:t>F6 成果导出</w:t>
            </w:r>
          </w:p>
        </w:tc>
        <w:tc>
          <w:tcPr>
            <w:tcW w:w="4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剖面与井曲线绘图、盲井检验与指标计算；数据与图件导出、评估报告生成</w:t>
            </w:r>
          </w:p>
        </w:tc>
      </w:tr>
      <w:tr w:rsidR="00E60895">
        <w:tblPrEx>
          <w:tblCellMar>
            <w:top w:w="0" w:type="dxa"/>
            <w:bottom w:w="0" w:type="dxa"/>
          </w:tblCellMar>
        </w:tblPrEx>
        <w:trPr>
          <w:trHeight w:val="520"/>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刘星</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界面集成、测试与文档</w:t>
            </w:r>
          </w:p>
        </w:tc>
        <w:tc>
          <w:tcPr>
            <w:tcW w:w="4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PySide6 主界面与交互流程；单元/集成/系统测试；需求与设计文档、用户手册与答辩材料</w:t>
            </w:r>
          </w:p>
        </w:tc>
      </w:tr>
    </w:tbl>
    <w:p w:rsidR="00E60895" w:rsidRDefault="00E60895"/>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0895">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keepNext/>
              <w:spacing w:line="360" w:lineRule="auto"/>
            </w:pPr>
            <w:r>
              <w:rPr>
                <w:rFonts w:ascii="黑体" w:eastAsia="黑体" w:hAnsi="黑体"/>
              </w:rPr>
              <w:t>六、测试计划</w:t>
            </w:r>
          </w:p>
        </w:tc>
      </w:tr>
      <w:tr w:rsidR="00E60895">
        <w:tblPrEx>
          <w:tblCellMar>
            <w:top w:w="0" w:type="dxa"/>
            <w:bottom w:w="0" w:type="dxa"/>
          </w:tblCellMar>
        </w:tblPrEx>
        <w:trPr>
          <w:trHeight w:val="1800"/>
        </w:trPr>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20" w:lineRule="auto"/>
              <w:jc w:val="left"/>
            </w:pPr>
            <w:r>
              <w:rPr>
                <w:b w:val="0"/>
                <w:sz w:val="21"/>
              </w:rPr>
              <w:t>1. 测试类型：☑ 单元测试   ☑ 集成测试   ☑ 系统测试   ☑ 性能测试   ☑ 验收测试</w:t>
            </w:r>
          </w:p>
          <w:p>
            <w:pPr>
              <w:spacing w:line="320" w:lineRule="auto"/>
              <w:jc w:val="left"/>
            </w:pPr>
            <w:r>
              <w:rPr>
                <w:b w:val="0"/>
                <w:sz w:val="21"/>
              </w:rPr>
              <w:t>2. 测试方法与工具：</w:t>
            </w:r>
          </w:p>
          <w:p>
            <w:pPr>
              <w:spacing w:line="320" w:lineRule="auto"/>
              <w:ind w:firstLineChars="200" w:firstLine="420"/>
            </w:pPr>
            <w:r>
              <w:rPr>
                <w:b w:val="0"/>
                <w:sz w:val="21"/>
              </w:rPr>
              <w:t>白盒测试：对算法层函数（数据读写、DT→Vp 换算、插值、指标计算等）使用 pytest 编写单元测试，并用 pytest-cov 统计覆盖率，目标不低于 70%。黑盒测试：按需求规格对各功能模块进行等价类划分与边界值测试（如空文件、维度不匹配、单井、无井等情况）。界面测试：使用 pytest-qt 模拟用户操作。性能测试：记录不同剖面规模下的训练与预测耗时、内存与显存占用。算法验收：在合成模型上以真实速度为标准计算误差指标，并进行留一法盲井检验。</w:t>
            </w:r>
          </w:p>
          <w:p>
            <w:pPr>
              <w:spacing w:line="320" w:lineRule="auto"/>
              <w:jc w:val="left"/>
            </w:pPr>
            <w:r>
              <w:rPr>
                <w:b w:val="0"/>
                <w:sz w:val="21"/>
              </w:rPr>
              <w:t>3. 测试数据来源：</w:t>
            </w:r>
          </w:p>
          <w:p>
            <w:pPr>
              <w:spacing w:line="320" w:lineRule="auto"/>
              <w:ind w:firstLineChars="200" w:firstLine="420"/>
            </w:pPr>
            <w:r>
              <w:rPr>
                <w:b w:val="0"/>
                <w:sz w:val="21"/>
              </w:rPr>
              <w:t>Marmousi2 速度模型及其合成地震剖面（真值已知，用于定量评估，训练前统一网格）；Marmousi 原始速度模型（用于跨模型泛化测试）；Taranaki 盆地真实测井数据（文件完整性校验通过后，用于测井读取与预处理模块测试）；人为构造的异常文件（格式错误、缺值、维度不符等，用于健壮性测试）。</w:t>
            </w:r>
          </w:p>
        </w:tc>
      </w:tr>
    </w:tbl>
    <w:p w:rsidR="00E87CA3" w:rsidRDefault="00E87CA3">
      <w:bookmarkStart w:id="0" w:name="_GoBack"/>
      <w:bookmarkEnd w:id="0"/>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000"/>
        <w:gridCol w:w="2826"/>
      </w:tblGrid>
      <w:tr w:rsidR="00E60895">
        <w:tblPrEx>
          <w:tblCellMar>
            <w:top w:w="0" w:type="dxa"/>
            <w:bottom w:w="0" w:type="dxa"/>
          </w:tblCellMar>
        </w:tblPrEx>
        <w:tc>
          <w:tcPr>
            <w:tcW w:w="9026" w:type="dxa"/>
            <w:gridSpan w:val="4"/>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keepNext/>
              <w:spacing w:line="360" w:lineRule="auto"/>
            </w:pPr>
            <w:r>
              <w:rPr>
                <w:rFonts w:ascii="黑体" w:eastAsia="黑体" w:hAnsi="黑体"/>
              </w:rPr>
              <w:t>主要测试用例（示例）</w:t>
            </w:r>
          </w:p>
        </w:tc>
      </w:tr>
      <w:tr w:rsidR="00E60895">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keepNext/>
              <w:spacing w:line="320" w:lineRule="auto"/>
              <w:jc w:val="center"/>
            </w:pPr>
            <w:r>
              <w:rPr>
                <w:rFonts w:ascii="黑体" w:eastAsia="黑体" w:hAnsi="黑体"/>
                <w:sz w:val="22"/>
                <w:szCs w:val="22"/>
              </w:rPr>
              <w:t>用例编号</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keepNext/>
              <w:spacing w:line="320" w:lineRule="auto"/>
              <w:jc w:val="center"/>
            </w:pPr>
            <w:r>
              <w:rPr>
                <w:rFonts w:ascii="黑体" w:eastAsia="黑体" w:hAnsi="黑体"/>
                <w:sz w:val="22"/>
                <w:szCs w:val="22"/>
              </w:rPr>
              <w:t>测试功能</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keepNext/>
              <w:spacing w:line="320" w:lineRule="auto"/>
              <w:jc w:val="center"/>
            </w:pPr>
            <w:r>
              <w:rPr>
                <w:rFonts w:ascii="黑体" w:eastAsia="黑体" w:hAnsi="黑体"/>
                <w:sz w:val="22"/>
                <w:szCs w:val="22"/>
              </w:rPr>
              <w:t>输入</w:t>
            </w:r>
            <w:r>
              <w:rPr>
                <w:rFonts w:ascii="黑体" w:eastAsia="黑体" w:hAnsi="黑体"/>
                <w:sz w:val="22"/>
                <w:szCs w:val="22"/>
              </w:rPr>
              <w:t>/</w:t>
            </w:r>
            <w:r>
              <w:rPr>
                <w:rFonts w:ascii="黑体" w:eastAsia="黑体" w:hAnsi="黑体"/>
                <w:sz w:val="22"/>
                <w:szCs w:val="22"/>
              </w:rPr>
              <w:t>操作</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keepNext/>
              <w:spacing w:line="320" w:lineRule="auto"/>
              <w:jc w:val="center"/>
            </w:pPr>
            <w:r>
              <w:rPr>
                <w:rFonts w:ascii="黑体" w:eastAsia="黑体" w:hAnsi="黑体"/>
                <w:sz w:val="22"/>
                <w:szCs w:val="22"/>
              </w:rPr>
              <w:t>预期结果</w:t>
            </w:r>
          </w:p>
        </w:tc>
      </w:tr>
      <w:tr w:rsidR="00E60895">
        <w:tblPrEx>
          <w:tblCellMar>
            <w:top w:w="0" w:type="dxa"/>
            <w:bottom w:w="0" w:type="dxa"/>
          </w:tblCellMar>
        </w:tblPrEx>
        <w:trPr>
          <w:trHeight w:val="520"/>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测井数据导入与校验</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分别导入标准 LAS 2.0 文件、缺少深度列的 CSV 文件、非测井格式的文本文件</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标准文件正确解析出曲线名称、单位与深度范围；异常文件给出明确错误提示，程序不崩溃</w:t>
            </w:r>
          </w:p>
        </w:tc>
      </w:tr>
      <w:tr w:rsidR="00E60895">
        <w:tblPrEx>
          <w:tblCellMar>
            <w:top w:w="0" w:type="dxa"/>
            <w:bottom w:w="0" w:type="dxa"/>
          </w:tblCellMar>
        </w:tblPrEx>
        <w:trPr>
          <w:trHeight w:val="520"/>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T2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DT→Vp 换算与测井粗化</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输入含 -999.25 空值和尖峰异常值的已知声波时差曲线，执行换算与粗化</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按 Vp = 304800/DT（DT 单位 μs/ft）换算正确，相对误差 &lt; 0.1%；空值被标记、异常值被剔除，粗化曲线平滑且无深度偏移</w:t>
            </w:r>
          </w:p>
        </w:tc>
      </w:tr>
      <w:tr w:rsidR="00E60895">
        <w:tblPrEx>
          <w:tblCellMar>
            <w:top w:w="0" w:type="dxa"/>
            <w:bottom w:w="0" w:type="dxa"/>
          </w:tblCellMar>
        </w:tblPrEx>
        <w:trPr>
          <w:trHeight w:val="520"/>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T3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AI 井震联合速度建模</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在 Marmousi2 剖面上选取 5 口伪井作为输入、另取 2 口作为盲井，执行训练与预测</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记录预测速度场的 MAPE、RMSE 等指标；以 MAPE ≤ 8%、盲井处 RMSE 相比 IDW/克里金基线降低 20% 作为预期目标，最终以固定测试集上的实测结果为准；训练期间界面不卡顿</w:t>
            </w:r>
          </w:p>
        </w:tc>
      </w:tr>
      <w:tr w:rsidR="00E60895">
        <w:tblPrEx>
          <w:tblCellMar>
            <w:top w:w="0" w:type="dxa"/>
            <w:bottom w:w="0" w:type="dxa"/>
          </w:tblCellMar>
        </w:tblPrEx>
        <w:trPr>
          <w:trHeight w:val="520"/>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T4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结果导出一致性</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将预测速度场分别导出为 SEG-Y 与 NPY 文件，再重新导入</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重新导入的数据与原结果维度一致，数值相对误差 &lt; 1e-6</w:t>
            </w:r>
          </w:p>
        </w:tc>
      </w:tr>
      <w:tr w:rsidR="00E60895">
        <w:tblPrEx>
          <w:tblCellMar>
            <w:top w:w="0" w:type="dxa"/>
            <w:bottom w:w="0" w:type="dxa"/>
          </w:tblCellMar>
        </w:tblPrEx>
        <w:tc>
          <w:tcPr>
            <w:tcW w:w="9026" w:type="dxa"/>
            <w:gridSpan w:val="4"/>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keepNext/>
              <w:spacing w:line="360" w:lineRule="auto"/>
            </w:pPr>
            <w:r>
              <w:lastRenderedPageBreak/>
              <w:br w:type="page"/>
            </w:r>
            <w:r>
              <w:rPr>
                <w:rFonts w:ascii="黑体" w:eastAsia="黑体" w:hAnsi="黑体"/>
              </w:rPr>
              <w:t>七、可能遇到的难点及应对措施</w:t>
            </w:r>
          </w:p>
        </w:tc>
      </w:tr>
      <w:tr w:rsidR="00E60895">
        <w:tblPrEx>
          <w:tblCellMar>
            <w:top w:w="0" w:type="dxa"/>
            <w:bottom w:w="0" w:type="dxa"/>
          </w:tblCellMar>
        </w:tblPrEx>
        <w:trPr>
          <w:trHeight w:val="1600"/>
        </w:trPr>
        <w:tc>
          <w:tcPr>
            <w:tcW w:w="9026" w:type="dxa"/>
            <w:gridSpan w:val="4"/>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20" w:lineRule="auto"/>
            </w:pPr>
            <w:r>
              <w:rPr>
                <w:b/>
                <w:sz w:val="21"/>
              </w:rPr>
              <w:t>（1）地球物理专业知识不足。</w:t>
            </w:r>
            <w:r>
              <w:rPr>
                <w:b w:val="0"/>
                <w:sz w:val="21"/>
              </w:rPr>
              <w:t>井震标定、时深转换、测井粗化等环节涉及较多专业知识。应对：系统阅读速度建模相关文献，先在真值已知的合成模型上开发和验证，关键环节及时向指导教师请教。</w:t>
            </w:r>
          </w:p>
          <w:p>
            <w:pPr>
              <w:spacing w:line="320" w:lineRule="auto"/>
            </w:pPr>
            <w:r>
              <w:rPr>
                <w:b/>
                <w:sz w:val="21"/>
              </w:rPr>
              <w:t>（2）井资料稀疏、训练样本不足。</w:t>
            </w:r>
            <w:r>
              <w:rPr>
                <w:b w:val="0"/>
                <w:sz w:val="21"/>
              </w:rPr>
              <w:t>实际工区井数有限，难以支撑深度网络训练。应对：在 Marmousi/Marmousi2 等标准模型上随机抽取伪井、随机切片，并进行翻转、振幅扰动等数据增强；网络输入中加入井插值低频背景，降低学习难度。</w:t>
            </w:r>
          </w:p>
          <w:p>
            <w:pPr>
              <w:spacing w:line="320" w:lineRule="auto"/>
            </w:pPr>
            <w:r>
              <w:rPr>
                <w:b/>
                <w:sz w:val="21"/>
              </w:rPr>
              <w:t>（3）井震尺度不匹配。</w:t>
            </w:r>
            <w:r>
              <w:rPr>
                <w:b w:val="0"/>
                <w:sz w:val="21"/>
              </w:rPr>
              <w:t>测井采样间隔（约 0.15 m）远小于地震分辨率，直接使用会引入高频噪声。应对：采用滑动平均/Backus 平均将测井粗化到地震尺度，并统一到同一深度网格。</w:t>
            </w:r>
          </w:p>
          <w:p>
            <w:pPr>
              <w:spacing w:line="320" w:lineRule="auto"/>
            </w:pPr>
            <w:r>
              <w:rPr>
                <w:b/>
                <w:sz w:val="21"/>
              </w:rPr>
              <w:t>（4）模型泛化能力与结果可信度。</w:t>
            </w:r>
            <w:r>
              <w:rPr>
                <w:b w:val="0"/>
                <w:sz w:val="21"/>
              </w:rPr>
              <w:t>网络可能在训练模型上过拟合。应对：采用盲井检验与跨模型测试评估泛化能力；在损失函数中加入井点约束项，使井位处结果与实测基本一致；保留传统插值结果作为对照。此外，公开渠道难以获得同一工区配套的实测地震与测井数据，真实数据上的效果只作演示性验证，定量结论以合成模型为准。</w:t>
            </w:r>
          </w:p>
          <w:p>
            <w:pPr>
              <w:spacing w:line="320" w:lineRule="auto"/>
            </w:pPr>
            <w:r>
              <w:rPr>
                <w:b/>
                <w:sz w:val="21"/>
              </w:rPr>
              <w:t>（5）计算资源有限。</w:t>
            </w:r>
            <w:r>
              <w:rPr>
                <w:b w:val="0"/>
                <w:sz w:val="21"/>
              </w:rPr>
              <w:t>个人电脑显存有限。应对：采用切片训练与混合精度，控制网络规模；支持 CPU 回退，并提供预训练权重供直接加载。</w:t>
            </w:r>
          </w:p>
          <w:p>
            <w:pPr>
              <w:spacing w:line="320" w:lineRule="auto"/>
            </w:pPr>
            <w:r>
              <w:rPr>
                <w:b/>
                <w:sz w:val="21"/>
              </w:rPr>
              <w:t>（6）数据获取与进度风险。</w:t>
            </w:r>
            <w:r>
              <w:rPr>
                <w:b w:val="0"/>
                <w:sz w:val="21"/>
              </w:rPr>
              <w:t>部分公开数据集体量较大（如 Taranaki 测井数据约 229 MB），下载易中断；算法调参耗时难以预估。应对：提前完整下载并校验数据；按增量开发，优先保证核心链路可运行，每周对照进度表检查，必要时压缩非核心功能（如报告自动生成）。</w:t>
            </w:r>
          </w:p>
        </w:tc>
      </w:tr>
    </w:tbl>
    <w:p w:rsidR="00E60895" w:rsidRDefault="00E60895"/>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5626"/>
      </w:tblGrid>
      <w:tr w:rsidR="00E60895">
        <w:tblPrEx>
          <w:tblCellMar>
            <w:top w:w="0" w:type="dxa"/>
            <w:bottom w:w="0" w:type="dxa"/>
          </w:tblCellMar>
        </w:tblPrEx>
        <w:tc>
          <w:tcPr>
            <w:tcW w:w="9026" w:type="dxa"/>
            <w:gridSpan w:val="3"/>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keepNext/>
              <w:spacing w:line="360" w:lineRule="auto"/>
            </w:pPr>
            <w:r>
              <w:rPr>
                <w:rFonts w:ascii="黑体" w:eastAsia="黑体" w:hAnsi="黑体"/>
              </w:rPr>
              <w:t>八、进度安排</w:t>
            </w:r>
          </w:p>
        </w:tc>
      </w:tr>
      <w:tr w:rsidR="00E60895">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keepNext/>
              <w:spacing w:line="320" w:lineRule="auto"/>
              <w:jc w:val="center"/>
            </w:pPr>
            <w:r>
              <w:rPr>
                <w:rFonts w:ascii="黑体" w:eastAsia="黑体" w:hAnsi="黑体"/>
                <w:sz w:val="22"/>
                <w:szCs w:val="22"/>
              </w:rPr>
              <w:t>阶段</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keepNext/>
              <w:spacing w:line="320" w:lineRule="auto"/>
              <w:jc w:val="center"/>
            </w:pPr>
            <w:r>
              <w:rPr>
                <w:rFonts w:ascii="黑体" w:eastAsia="黑体" w:hAnsi="黑体"/>
                <w:sz w:val="22"/>
                <w:szCs w:val="22"/>
              </w:rPr>
              <w:t>起止时间</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keepNext/>
              <w:spacing w:line="320" w:lineRule="auto"/>
              <w:jc w:val="center"/>
            </w:pPr>
            <w:r>
              <w:rPr>
                <w:rFonts w:ascii="黑体" w:eastAsia="黑体" w:hAnsi="黑体"/>
                <w:sz w:val="22"/>
                <w:szCs w:val="22"/>
              </w:rPr>
              <w:t>工作内容</w:t>
            </w:r>
          </w:p>
        </w:tc>
      </w:tr>
      <w:tr w:rsidR="00E60895">
        <w:tblPrEx>
          <w:tblCellMar>
            <w:top w:w="0" w:type="dxa"/>
            <w:bottom w:w="0" w:type="dxa"/>
          </w:tblCellMar>
        </w:tblPrEx>
        <w:trPr>
          <w:trHeight w:val="520"/>
        </w:trPr>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1</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2026.09.28～2026.09.30</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需求调研与分析，完成开题任务书</w:t>
            </w:r>
          </w:p>
        </w:tc>
      </w:tr>
      <w:tr w:rsidR="00E60895">
        <w:tblPrEx>
          <w:tblCellMar>
            <w:top w:w="0" w:type="dxa"/>
            <w:bottom w:w="0" w:type="dxa"/>
          </w:tblCellMar>
        </w:tblPrEx>
        <w:trPr>
          <w:trHeight w:val="520"/>
        </w:trPr>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2026.10.01～2026.10.14</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概要设计与详细设计（架构、模块、数据库、界面）</w:t>
            </w:r>
          </w:p>
        </w:tc>
      </w:tr>
      <w:tr w:rsidR="00E60895">
        <w:tblPrEx>
          <w:tblCellMar>
            <w:top w:w="0" w:type="dxa"/>
            <w:bottom w:w="0" w:type="dxa"/>
          </w:tblCellMar>
        </w:tblPrEx>
        <w:trPr>
          <w:trHeight w:val="520"/>
        </w:trPr>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3</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2026.10.15～2026.11.15</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编码实现：第一轮迭代，完成核心功能（数据导入、传统插值、测井约束 U-Net 训练与预测）</w:t>
            </w:r>
          </w:p>
        </w:tc>
      </w:tr>
      <w:tr w:rsidR="00E60895">
        <w:tblPrEx>
          <w:tblCellMar>
            <w:top w:w="0" w:type="dxa"/>
            <w:bottom w:w="0" w:type="dxa"/>
          </w:tblCellMar>
        </w:tblPrEx>
        <w:trPr>
          <w:trHeight w:val="520"/>
        </w:trPr>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4</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2026.11.16～2026.12.06</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编码实现：第二轮迭代，完善其余功能（预处理与标定、可视化评估、成果导出、图形界面）</w:t>
            </w:r>
          </w:p>
        </w:tc>
      </w:tr>
      <w:tr w:rsidR="00E60895">
        <w:tblPrEx>
          <w:tblCellMar>
            <w:top w:w="0" w:type="dxa"/>
            <w:bottom w:w="0" w:type="dxa"/>
          </w:tblCellMar>
        </w:tblPrEx>
        <w:trPr>
          <w:trHeight w:val="520"/>
        </w:trPr>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5</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2026.12.07～2026.12.20</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第三轮迭代：性能优化与异常处理，系统测试、缺陷修复与打包发布</w:t>
            </w:r>
          </w:p>
        </w:tc>
      </w:tr>
      <w:tr w:rsidR="00E60895">
        <w:tblPrEx>
          <w:tblCellMar>
            <w:top w:w="0" w:type="dxa"/>
            <w:bottom w:w="0" w:type="dxa"/>
          </w:tblCellMar>
        </w:tblPrEx>
        <w:trPr>
          <w:trHeight w:val="520"/>
        </w:trPr>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E60895" w:rsidRDefault="00593D25">
            <w:pPr>
              <w:spacing w:line="320" w:lineRule="auto"/>
              <w:jc w:val="center"/>
            </w:pPr>
            <w:r>
              <w:rPr>
                <w:sz w:val="22"/>
                <w:szCs w:val="22"/>
              </w:rPr>
              <w:t>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center"/>
            </w:pPr>
            <w:r>
              <w:rPr>
                <w:b w:val="0"/>
                <w:sz w:val="21"/>
              </w:rPr>
              <w:t>2026.12.20～2026.12.31</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pPr>
              <w:spacing w:line="320" w:lineRule="auto"/>
              <w:jc w:val="left"/>
            </w:pPr>
            <w:r>
              <w:rPr>
                <w:b w:val="0"/>
                <w:sz w:val="21"/>
              </w:rPr>
              <w:t>编写文档，整理成果，准备答辩</w:t>
            </w:r>
          </w:p>
        </w:tc>
      </w:tr>
    </w:tbl>
    <w:p w:rsidR="00E60895" w:rsidRDefault="00E60895"/>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0895">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keepNext/>
              <w:spacing w:line="360" w:lineRule="auto"/>
            </w:pPr>
            <w:r>
              <w:rPr>
                <w:rFonts w:ascii="黑体" w:eastAsia="黑体" w:hAnsi="黑体"/>
              </w:rPr>
              <w:t>九、提交成果</w:t>
            </w:r>
          </w:p>
        </w:tc>
      </w:tr>
      <w:tr w:rsidR="00E60895">
        <w:tblPrEx>
          <w:tblCellMar>
            <w:top w:w="0" w:type="dxa"/>
            <w:bottom w:w="0" w:type="dxa"/>
          </w:tblCellMar>
        </w:tblPrEx>
        <w:trPr>
          <w:trHeight w:val="2600"/>
        </w:trPr>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20" w:lineRule="auto"/>
              <w:jc w:val="left"/>
            </w:pPr>
            <w:r>
              <w:rPr>
                <w:b w:val="0"/>
                <w:sz w:val="21"/>
              </w:rPr>
              <w:t>☑ 软件需求规格说明书</w:t>
            </w:r>
          </w:p>
          <w:p>
            <w:pPr>
              <w:spacing w:line="320" w:lineRule="auto"/>
              <w:jc w:val="left"/>
            </w:pPr>
            <w:r>
              <w:rPr>
                <w:b w:val="0"/>
                <w:sz w:val="21"/>
              </w:rPr>
              <w:t>☑ 软件设计说明书（概要设计、详细设计）</w:t>
            </w:r>
          </w:p>
          <w:p>
            <w:pPr>
              <w:spacing w:line="320" w:lineRule="auto"/>
              <w:jc w:val="left"/>
            </w:pPr>
            <w:r>
              <w:rPr>
                <w:b w:val="0"/>
                <w:sz w:val="21"/>
              </w:rPr>
              <w:t>☑ 完整源代码及 README（环境配置、编译运行步骤）</w:t>
            </w:r>
          </w:p>
          <w:p>
            <w:pPr>
              <w:spacing w:line="320" w:lineRule="auto"/>
              <w:jc w:val="left"/>
            </w:pPr>
            <w:r>
              <w:rPr>
                <w:b w:val="0"/>
                <w:sz w:val="21"/>
              </w:rPr>
              <w:t>☑ 可执行程序或部署包</w:t>
            </w:r>
          </w:p>
          <w:p>
            <w:pPr>
              <w:spacing w:line="320" w:lineRule="auto"/>
              <w:jc w:val="left"/>
            </w:pPr>
            <w:r>
              <w:rPr>
                <w:b w:val="0"/>
                <w:sz w:val="21"/>
              </w:rPr>
              <w:t>☑ 测试报告</w:t>
            </w:r>
          </w:p>
          <w:p>
            <w:pPr>
              <w:spacing w:line="320" w:lineRule="auto"/>
              <w:jc w:val="left"/>
            </w:pPr>
            <w:r>
              <w:rPr>
                <w:b w:val="0"/>
                <w:sz w:val="21"/>
              </w:rPr>
              <w:t>☑ 用户使用手册</w:t>
            </w:r>
          </w:p>
          <w:p>
            <w:pPr>
              <w:spacing w:line="320" w:lineRule="auto"/>
              <w:jc w:val="left"/>
            </w:pPr>
            <w:r>
              <w:rPr>
                <w:b w:val="0"/>
                <w:sz w:val="21"/>
              </w:rPr>
              <w:t>☑ 课程设计报告</w:t>
            </w:r>
          </w:p>
          <w:p>
            <w:pPr>
              <w:spacing w:line="320" w:lineRule="auto"/>
              <w:jc w:val="left"/>
            </w:pPr>
            <w:r>
              <w:rPr>
                <w:b w:val="0"/>
                <w:sz w:val="21"/>
              </w:rPr>
              <w:t>☑ 答辩 PPT 及演示视频</w:t>
            </w:r>
          </w:p>
        </w:tc>
      </w:tr>
    </w:tbl>
    <w:p w:rsidR="00E60895" w:rsidRDefault="00E60895"/>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60895">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shd w:val="clear" w:color="auto" w:fill="EDEDED"/>
            <w:tcMar>
              <w:top w:w="80" w:type="dxa"/>
              <w:left w:w="120" w:type="dxa"/>
              <w:bottom w:w="80" w:type="dxa"/>
              <w:right w:w="120" w:type="dxa"/>
            </w:tcMar>
            <w:vAlign w:val="center"/>
          </w:tcPr>
          <w:p w:rsidR="00E60895" w:rsidRDefault="00593D25">
            <w:pPr>
              <w:keepNext/>
              <w:spacing w:line="360" w:lineRule="auto"/>
            </w:pPr>
            <w:r>
              <w:rPr>
                <w:rFonts w:ascii="黑体" w:eastAsia="黑体" w:hAnsi="黑体"/>
              </w:rPr>
              <w:t>十、主要参考文献</w:t>
            </w:r>
          </w:p>
        </w:tc>
      </w:tr>
      <w:tr w:rsidR="00E60895">
        <w:tblPrEx>
          <w:tblCellMar>
            <w:top w:w="0" w:type="dxa"/>
            <w:bottom w:w="0" w:type="dxa"/>
          </w:tblCellMar>
        </w:tblPrEx>
        <w:trPr>
          <w:trHeight w:val="1800"/>
        </w:trPr>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pPr>
              <w:spacing w:line="320" w:lineRule="auto"/>
              <w:jc w:val="left"/>
            </w:pPr>
            <w:r>
              <w:rPr>
                <w:b w:val="0"/>
                <w:sz w:val="21"/>
              </w:rPr>
              <w:t>[1] Martin G S, Wiley R, Marfurt K J. Marmousi2: An elastic upgrade for Marmousi[J]. The Leading Edge, 2006, 25(2): 156-166.</w:t>
            </w:r>
          </w:p>
          <w:p>
            <w:pPr>
              <w:spacing w:line="320" w:lineRule="auto"/>
              <w:jc w:val="left"/>
            </w:pPr>
            <w:r>
              <w:rPr>
                <w:b w:val="0"/>
                <w:sz w:val="21"/>
              </w:rPr>
              <w:t>[2] Yang F, Ma J. Deep-learning inversion: A next-generation seismic velocity model building method[J]. Geophysics, 2019, 84(4): R583-R599.</w:t>
            </w:r>
          </w:p>
          <w:p>
            <w:pPr>
              <w:spacing w:line="320" w:lineRule="auto"/>
              <w:jc w:val="left"/>
            </w:pPr>
            <w:r>
              <w:rPr>
                <w:b w:val="0"/>
                <w:sz w:val="21"/>
              </w:rPr>
              <w:t>[3] Wu Y, Lin Y. InversionNet: An efficient and accurate data-driven full waveform inversion[J]. IEEE Transactions on Computational Imaging, 2020, 6: 419-433.</w:t>
            </w:r>
          </w:p>
          <w:p>
            <w:pPr>
              <w:spacing w:line="320" w:lineRule="auto"/>
              <w:jc w:val="left"/>
            </w:pPr>
            <w:r>
              <w:rPr>
                <w:b w:val="0"/>
                <w:sz w:val="21"/>
              </w:rPr>
              <w:t>[4] Araya-Polo M, Jennings J, Adler A, et al. Deep-learning tomography[J]. The Leading Edge, 2018, 37(1): 58-66.</w:t>
            </w:r>
          </w:p>
          <w:p>
            <w:pPr>
              <w:spacing w:line="320" w:lineRule="auto"/>
              <w:jc w:val="left"/>
            </w:pPr>
            <w:r>
              <w:rPr>
                <w:b w:val="0"/>
                <w:sz w:val="21"/>
              </w:rPr>
              <w:t>[5] Das V, Pollack A, Wollner U, et al. Convolutional neural network for seismic impedance inversion[J]. Geophysics, 2019, 84(6): R869-R880.</w:t>
            </w:r>
          </w:p>
          <w:p>
            <w:pPr>
              <w:spacing w:line="320" w:lineRule="auto"/>
              <w:jc w:val="left"/>
            </w:pPr>
            <w:r>
              <w:rPr>
                <w:b w:val="0"/>
                <w:sz w:val="21"/>
              </w:rPr>
              <w:t>[6] Ronneberger O, Fischer P, Brox T. U-Net: Convolutional networks for biomedical image segmentation[C]//Medical Image Computing and Computer-Assisted Intervention (MICCAI). Cham: Springer, 2015: 234-241.</w:t>
            </w:r>
          </w:p>
          <w:p>
            <w:pPr>
              <w:spacing w:line="320" w:lineRule="auto"/>
              <w:jc w:val="left"/>
            </w:pPr>
            <w:r>
              <w:rPr>
                <w:b w:val="0"/>
                <w:sz w:val="21"/>
              </w:rPr>
              <w:t>[7] Deng C, Feng S, Wang H, et al. OpenFWI: Large-scale multi-structural benchmark datasets for full waveform inversion[C]//Advances in Neural Information Processing Systems 35 (NeurIPS 2022), Datasets and Benchmarks Track, 2022.</w:t>
            </w:r>
          </w:p>
          <w:p>
            <w:pPr>
              <w:spacing w:line="320" w:lineRule="auto"/>
              <w:jc w:val="left"/>
            </w:pPr>
            <w:r>
              <w:rPr>
                <w:b w:val="0"/>
                <w:sz w:val="21"/>
              </w:rPr>
              <w:t>[8] Pertuz A, Benito M I, Llanes Estrada P, et al. VelRecover: An interactive Python tool for building velocity models from sparse velocity picks in legacy seismic sections[CP/OL]. Zenodo, 2025. DOI: 10.5281/zenodo.15053268.</w:t>
            </w:r>
          </w:p>
          <w:p>
            <w:pPr>
              <w:spacing w:line="320" w:lineRule="auto"/>
              <w:jc w:val="left"/>
            </w:pPr>
            <w:r>
              <w:rPr>
                <w:b w:val="0"/>
                <w:sz w:val="21"/>
              </w:rPr>
              <w:t>[9] de Carvalho B W S R, Oliveira M, Avalone M, et al. Taranaki Basin curated well logs[DS/OL]. Zenodo, 2020. DOI: 10.5281/zenodo.3832955.</w:t>
            </w:r>
          </w:p>
          <w:p>
            <w:pPr>
              <w:spacing w:line="320" w:lineRule="auto"/>
              <w:jc w:val="left"/>
            </w:pPr>
            <w:r>
              <w:rPr>
                <w:b w:val="0"/>
                <w:sz w:val="21"/>
              </w:rPr>
              <w:t>[10] Sommerville I. Software Engineering[M]. 10th ed. Boston: Pearson, 2016.</w:t>
            </w:r>
          </w:p>
        </w:tc>
      </w:tr>
    </w:tbl>
    <w:p w:rsidR="00593D25" w:rsidRDefault="00593D25"/>
    <w:sectPr w:rsidR="00593D25">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3D25" w:rsidRDefault="00593D25">
      <w:r>
        <w:separator/>
      </w:r>
    </w:p>
  </w:endnote>
  <w:endnote w:type="continuationSeparator" w:id="0">
    <w:p w:rsidR="00593D25" w:rsidRDefault="00593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895" w:rsidRDefault="00593D25">
    <w:pPr>
      <w:jc w:val="center"/>
    </w:pPr>
    <w:r>
      <w:rPr>
        <w:sz w:val="20"/>
        <w:szCs w:val="20"/>
      </w:rPr>
      <w:t xml:space="preserve">— </w:t>
    </w:r>
    <w:r>
      <w:rPr>
        <w:sz w:val="20"/>
        <w:szCs w:val="20"/>
      </w:rPr>
      <w:fldChar w:fldCharType="begin"/>
    </w:r>
    <w:r>
      <w:rPr>
        <w:sz w:val="20"/>
        <w:szCs w:val="20"/>
      </w:rPr>
      <w:instrText>PAGE</w:instrText>
    </w:r>
    <w:r w:rsidR="00E87CA3">
      <w:rPr>
        <w:sz w:val="20"/>
        <w:szCs w:val="20"/>
      </w:rPr>
      <w:fldChar w:fldCharType="separate"/>
    </w:r>
    <w:r w:rsidR="008B533A">
      <w:rPr>
        <w:noProof/>
        <w:sz w:val="20"/>
        <w:szCs w:val="20"/>
      </w:rPr>
      <w:t>1</w:t>
    </w:r>
    <w:r>
      <w:rPr>
        <w:sz w:val="20"/>
        <w:szCs w:val="20"/>
      </w:rPr>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3D25" w:rsidRDefault="00593D25">
      <w:r>
        <w:separator/>
      </w:r>
    </w:p>
  </w:footnote>
  <w:footnote w:type="continuationSeparator" w:id="0">
    <w:p w:rsidR="00593D25" w:rsidRDefault="00593D2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5A6BA5"/>
    <w:multiLevelType w:val="hybridMultilevel"/>
    <w:tmpl w:val="D5C0A7C2"/>
    <w:lvl w:ilvl="0" w:tplc="28CEEF38">
      <w:start w:val="1"/>
      <w:numFmt w:val="bullet"/>
      <w:lvlText w:val="●"/>
      <w:lvlJc w:val="left"/>
      <w:pPr>
        <w:ind w:left="720" w:hanging="360"/>
      </w:pPr>
    </w:lvl>
    <w:lvl w:ilvl="1" w:tplc="E4CAB89C">
      <w:start w:val="1"/>
      <w:numFmt w:val="bullet"/>
      <w:lvlText w:val="○"/>
      <w:lvlJc w:val="left"/>
      <w:pPr>
        <w:ind w:left="1440" w:hanging="360"/>
      </w:pPr>
    </w:lvl>
    <w:lvl w:ilvl="2" w:tplc="F0B6F4E0">
      <w:start w:val="1"/>
      <w:numFmt w:val="bullet"/>
      <w:lvlText w:val="■"/>
      <w:lvlJc w:val="left"/>
      <w:pPr>
        <w:ind w:left="2160" w:hanging="360"/>
      </w:pPr>
    </w:lvl>
    <w:lvl w:ilvl="3" w:tplc="B636E2A2">
      <w:start w:val="1"/>
      <w:numFmt w:val="bullet"/>
      <w:lvlText w:val="●"/>
      <w:lvlJc w:val="left"/>
      <w:pPr>
        <w:ind w:left="2880" w:hanging="360"/>
      </w:pPr>
    </w:lvl>
    <w:lvl w:ilvl="4" w:tplc="0F28D09A">
      <w:start w:val="1"/>
      <w:numFmt w:val="bullet"/>
      <w:lvlText w:val="○"/>
      <w:lvlJc w:val="left"/>
      <w:pPr>
        <w:ind w:left="3600" w:hanging="360"/>
      </w:pPr>
    </w:lvl>
    <w:lvl w:ilvl="5" w:tplc="32728910">
      <w:start w:val="1"/>
      <w:numFmt w:val="bullet"/>
      <w:lvlText w:val="■"/>
      <w:lvlJc w:val="left"/>
      <w:pPr>
        <w:ind w:left="4320" w:hanging="360"/>
      </w:pPr>
    </w:lvl>
    <w:lvl w:ilvl="6" w:tplc="A6CEB758">
      <w:start w:val="1"/>
      <w:numFmt w:val="bullet"/>
      <w:lvlText w:val="●"/>
      <w:lvlJc w:val="left"/>
      <w:pPr>
        <w:ind w:left="5040" w:hanging="360"/>
      </w:pPr>
    </w:lvl>
    <w:lvl w:ilvl="7" w:tplc="344EE44A">
      <w:start w:val="1"/>
      <w:numFmt w:val="bullet"/>
      <w:lvlText w:val="●"/>
      <w:lvlJc w:val="left"/>
      <w:pPr>
        <w:ind w:left="5760" w:hanging="360"/>
      </w:pPr>
    </w:lvl>
    <w:lvl w:ilvl="8" w:tplc="795EA57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E60895"/>
    <w:rsid w:val="00593D25"/>
    <w:rsid w:val="008B533A"/>
    <w:rsid w:val="00E60895"/>
    <w:rsid w:val="00E87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宋体" w:eastAsia="宋体" w:hAnsi="宋体" w:cs="Times New Roman"/>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脚注文本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尾注文本 Char"/>
    <w:link w:val="a9"/>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宋体" w:eastAsia="宋体" w:hAnsi="宋体" w:cs="Times New Roman"/>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脚注文本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尾注文本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212</Words>
  <Characters>1213</Characters>
  <Application>Microsoft Office Word</Application>
  <DocSecurity>0</DocSecurity>
  <Lines>10</Lines>
  <Paragraphs>2</Paragraphs>
  <ScaleCrop>false</ScaleCrop>
  <Company/>
  <LinksUpToDate>false</LinksUpToDate>
  <CharactersWithSpaces>1423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2026-09-27T12:52:00Z</dcterms:created>
  <dcterms:modified xsi:type="dcterms:W3CDTF">2026-09-27T12:52:00Z</dcterms:modified>
</cp:coreProperties>
</file>