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任务3：水电煤气管理系统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实现图形化水电煤气管理系统。整体采用“数据管理类 Manager + 图形界面类 GuiApp + 记录结构 Record”的框架，完成基础信息维护和“计算费用”业务功能。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3：水电煤气管理系统，题目要求是：录入用户水电煤气数据、输出用户信息、修改用户信息、计算应缴费用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能源缴费仪表盘风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用户姓名、用户编号、用水量、用电量、用气量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张三,U001,12,80,20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计算费用：按水、电、气用量和固定单价计算应缴费用，并更新状态提示。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Project3.exe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Project3_Distribution/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调用新增、修改、删除、计算费用等功能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输入格式：用户姓名,用户编号,用水量,用电量,用气量。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计算费用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按水、电、气用量和固定单价计算应缴费用，并更新状态提示。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示例输入：张三,U001,12,80,20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Project3.exe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新增用户用量记录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点击计算费用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修改用电量后重新计算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展示保存后的 records.csv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围绕“录入用户水电煤气数据、输出用户信息、修改用户信息、计算应缴费用。”实现了输入、显示、修改、删除、保存和业务按钮“计算费用”。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实现图形界面，用数据管理类统一处理业务数据和文件流。系统完成了任务3：水电煤气管理系统的核心功能，数据可以持久化保存，界面操作直观，满足课程设计的基本要求。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任务3：水电煤气管理系统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任务3：水电煤气管理系统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