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0"/>
      </w:pPr>
      <w:r>
        <w:t>实验目的</w:t>
      </w:r>
    </w:p>
    <w:p>
      <w:pPr>
        <w:pStyle w:val="6"/>
        <w:numPr>
          <w:ilvl w:val="0"/>
          <w:numId w:val="0"/>
        </w:numPr>
        <w:rPr>
          <w:rFonts w:hint="eastAsia"/>
        </w:rPr>
      </w:pPr>
    </w:p>
    <w:p>
      <w:pPr>
        <w:pStyle w:val="6"/>
        <w:numPr>
          <w:ilvl w:val="0"/>
          <w:numId w:val="0"/>
        </w:numPr>
        <w:rPr>
          <w:rFonts w:hint="eastAsia" w:eastAsia="黑体"/>
          <w:lang w:eastAsia="zh-CN"/>
        </w:rPr>
      </w:pPr>
      <w:r>
        <w:rPr>
          <w:rFonts w:hint="eastAsia"/>
          <w:lang w:val="en-US" w:eastAsia="zh-CN"/>
        </w:rPr>
        <w:t>1.</w:t>
      </w:r>
      <w:r>
        <w:rPr>
          <w:rFonts w:hint="eastAsia"/>
        </w:rPr>
        <w:t>了解以太坊区块链的基本结构和工作原理，包括区块、交易、智能合约等组件的相互作用</w:t>
      </w:r>
      <w:r>
        <w:rPr>
          <w:rFonts w:hint="eastAsia"/>
          <w:lang w:eastAsia="zh-CN"/>
        </w:rPr>
        <w:t>。</w:t>
      </w:r>
    </w:p>
    <w:p>
      <w:pPr>
        <w:pStyle w:val="6"/>
        <w:numPr>
          <w:ilvl w:val="0"/>
          <w:numId w:val="0"/>
        </w:numPr>
        <w:rPr>
          <w:rFonts w:hint="eastAsia"/>
        </w:rPr>
      </w:pPr>
      <w:r>
        <w:rPr>
          <w:rFonts w:hint="eastAsia"/>
          <w:lang w:val="en-US" w:eastAsia="zh-CN"/>
        </w:rPr>
        <w:t>2.</w:t>
      </w:r>
      <w:r>
        <w:rPr>
          <w:rFonts w:hint="eastAsia"/>
        </w:rPr>
        <w:t>探索以太坊网络的节点、共识机制和交易验证过程。</w:t>
      </w:r>
      <w:bookmarkStart w:id="0" w:name="_GoBack"/>
      <w:bookmarkEnd w:id="0"/>
    </w:p>
    <w:p>
      <w:pPr>
        <w:pStyle w:val="6"/>
        <w:numPr>
          <w:ilvl w:val="0"/>
          <w:numId w:val="0"/>
        </w:numPr>
        <w:rPr>
          <w:rFonts w:hint="eastAsia"/>
        </w:rPr>
      </w:pPr>
    </w:p>
    <w:p>
      <w:pPr>
        <w:pStyle w:val="6"/>
        <w:ind w:firstLine="0"/>
      </w:pPr>
      <w:r>
        <w:t>2．实验内容</w:t>
      </w:r>
    </w:p>
    <w:p>
      <w:pPr>
        <w:pStyle w:val="7"/>
        <w:ind w:firstLine="0" w:firstLineChars="0"/>
        <w:rPr>
          <w:lang w:val="pt-BR"/>
        </w:rPr>
      </w:pPr>
    </w:p>
    <w:p>
      <w:pPr>
        <w:pStyle w:val="6"/>
        <w:numPr>
          <w:ilvl w:val="0"/>
          <w:numId w:val="0"/>
        </w:numPr>
        <w:ind w:leftChars="0"/>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1.登录电子图书馆：</w:t>
      </w:r>
    </w:p>
    <w:p>
      <w:pPr>
        <w:pStyle w:val="6"/>
        <w:numPr>
          <w:ilvl w:val="0"/>
          <w:numId w:val="0"/>
        </w:numPr>
        <w:ind w:leftChars="0"/>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首先，您需要登录到学校的电子图书馆系统。这通常涉及到使用您的学校账户或电子邮件地址和密码进行身份验证。</w:t>
      </w:r>
    </w:p>
    <w:p>
      <w:pPr>
        <w:pStyle w:val="6"/>
        <w:numPr>
          <w:ilvl w:val="0"/>
          <w:numId w:val="0"/>
        </w:numPr>
        <w:ind w:leftChars="0"/>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2使用搜索功能：在电子图书馆的搜索栏中，输入“以太坊与智能合约理论实验步骤”或相关关键词进行搜索。您也可以尝试使用更具体的关键词组合，例如“以太坊智能合约编写教程”或“以太坊智能合约部署指南”，以获取更精确的结果。</w:t>
      </w:r>
    </w:p>
    <w:p>
      <w:pPr>
        <w:pStyle w:val="6"/>
        <w:numPr>
          <w:ilvl w:val="0"/>
          <w:numId w:val="0"/>
        </w:numPr>
        <w:ind w:leftChars="0"/>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筛选和查看结果：系统会列出与您的搜索关键词相关的文献、教程、实验指南等结果。</w:t>
      </w:r>
    </w:p>
    <w:p>
      <w:pPr>
        <w:pStyle w:val="6"/>
        <w:numPr>
          <w:ilvl w:val="0"/>
          <w:numId w:val="0"/>
        </w:numPr>
        <w:ind w:leftChars="0"/>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浏览这些结果，查看标题、摘要和作者信息，以找到最符合您需求的资料。</w:t>
      </w:r>
    </w:p>
    <w:p>
      <w:pPr>
        <w:pStyle w:val="6"/>
        <w:numPr>
          <w:ilvl w:val="0"/>
          <w:numId w:val="2"/>
        </w:numPr>
        <w:ind w:left="0" w:leftChars="0" w:firstLine="0" w:firstLineChars="0"/>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获取和阅读资料：选择您认为最合适的资料，并查看其详细内容。这些资料可能包括实验手册、教程文章、学术论文等。注意检查资料的发布日期和来源，以确保其内容的时效性和可靠性。</w:t>
      </w:r>
    </w:p>
    <w:p>
      <w:pPr>
        <w:pStyle w:val="6"/>
        <w:numPr>
          <w:ilvl w:val="0"/>
          <w:numId w:val="0"/>
        </w:numPr>
        <w:ind w:leftChars="0"/>
        <w:rPr>
          <w:rFonts w:hint="eastAsia" w:ascii="Segoe UI" w:hAnsi="Segoe UI" w:cs="Segoe UI"/>
          <w:i w:val="0"/>
          <w:iCs w:val="0"/>
          <w:caps w:val="0"/>
          <w:color w:val="1E1F24"/>
          <w:spacing w:val="0"/>
          <w:sz w:val="24"/>
          <w:szCs w:val="24"/>
          <w:shd w:val="clear" w:fill="FFFFFF"/>
          <w:lang w:val="en-US" w:eastAsia="zh-CN"/>
        </w:rPr>
      </w:pPr>
      <w:r>
        <w:rPr>
          <w:rFonts w:hint="eastAsia" w:ascii="Segoe UI" w:hAnsi="Segoe UI" w:cs="Segoe UI"/>
          <w:i w:val="0"/>
          <w:iCs w:val="0"/>
          <w:caps w:val="0"/>
          <w:color w:val="1E1F24"/>
          <w:spacing w:val="0"/>
          <w:sz w:val="24"/>
          <w:szCs w:val="24"/>
          <w:shd w:val="clear" w:fill="FFFFFF"/>
          <w:lang w:val="en-US" w:eastAsia="zh-CN"/>
        </w:rPr>
        <w:t>记录重要信息：在阅读资料时，记录下以太坊与智能合约理论实验的关键步骤、注意事项和示例代码等重要信息。</w:t>
      </w:r>
    </w:p>
    <w:p>
      <w:pPr>
        <w:pStyle w:val="6"/>
        <w:numPr>
          <w:ilvl w:val="0"/>
          <w:numId w:val="2"/>
        </w:numPr>
        <w:ind w:left="0" w:leftChars="0" w:firstLine="0" w:firstLineChars="0"/>
        <w:rPr>
          <w:rFonts w:hint="eastAsia"/>
        </w:rPr>
      </w:pPr>
      <w:r>
        <w:rPr>
          <w:rFonts w:hint="eastAsia" w:ascii="Segoe UI" w:hAnsi="Segoe UI" w:cs="Segoe UI"/>
          <w:i w:val="0"/>
          <w:iCs w:val="0"/>
          <w:caps w:val="0"/>
          <w:color w:val="1E1F24"/>
          <w:spacing w:val="0"/>
          <w:sz w:val="24"/>
          <w:szCs w:val="24"/>
          <w:shd w:val="clear" w:fill="FFFFFF"/>
          <w:lang w:val="en-US" w:eastAsia="zh-CN"/>
        </w:rPr>
        <w:t>可以使用笔记或电子文档来整理这些信息，以便后续参考和实践。</w:t>
      </w:r>
    </w:p>
    <w:p>
      <w:pPr>
        <w:pStyle w:val="6"/>
        <w:numPr>
          <w:ilvl w:val="0"/>
          <w:numId w:val="0"/>
        </w:numPr>
        <w:ind w:leftChars="0"/>
        <w:rPr>
          <w:rFonts w:hint="eastAsia"/>
        </w:rPr>
      </w:pPr>
      <w:r>
        <w:rPr>
          <w:rFonts w:hint="eastAsia" w:ascii="Segoe UI" w:hAnsi="Segoe UI" w:cs="Segoe UI"/>
          <w:i w:val="0"/>
          <w:iCs w:val="0"/>
          <w:caps w:val="0"/>
          <w:color w:val="1E1F24"/>
          <w:spacing w:val="0"/>
          <w:sz w:val="24"/>
          <w:szCs w:val="24"/>
          <w:shd w:val="clear" w:fill="FFFFFF"/>
          <w:lang w:val="en-US" w:eastAsia="zh-CN"/>
        </w:rPr>
        <w:t>3.</w:t>
      </w:r>
      <w:r>
        <w:rPr>
          <w:rFonts w:hint="eastAsia"/>
        </w:rPr>
        <w:t>实验结果</w:t>
      </w:r>
    </w:p>
    <w:p>
      <w:pPr>
        <w:pStyle w:val="6"/>
        <w:numPr>
          <w:ilvl w:val="0"/>
          <w:numId w:val="0"/>
        </w:numPr>
      </w:pPr>
      <w:r>
        <w:drawing>
          <wp:inline distT="0" distB="0" distL="114300" distR="114300">
            <wp:extent cx="4771390" cy="3415030"/>
            <wp:effectExtent l="0" t="0" r="1016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771390" cy="3415030"/>
                    </a:xfrm>
                    <a:prstGeom prst="rect">
                      <a:avLst/>
                    </a:prstGeom>
                    <a:noFill/>
                    <a:ln>
                      <a:noFill/>
                    </a:ln>
                  </pic:spPr>
                </pic:pic>
              </a:graphicData>
            </a:graphic>
          </wp:inline>
        </w:drawing>
      </w:r>
      <w:r>
        <w:drawing>
          <wp:inline distT="0" distB="0" distL="114300" distR="114300">
            <wp:extent cx="5753100" cy="3357880"/>
            <wp:effectExtent l="0" t="0" r="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753100" cy="3357880"/>
                    </a:xfrm>
                    <a:prstGeom prst="rect">
                      <a:avLst/>
                    </a:prstGeom>
                    <a:noFill/>
                    <a:ln>
                      <a:noFill/>
                    </a:ln>
                  </pic:spPr>
                </pic:pic>
              </a:graphicData>
            </a:graphic>
          </wp:inline>
        </w:drawing>
      </w:r>
    </w:p>
    <w:p>
      <w:pPr>
        <w:pStyle w:val="6"/>
        <w:numPr>
          <w:ilvl w:val="0"/>
          <w:numId w:val="0"/>
        </w:numPr>
      </w:pPr>
    </w:p>
    <w:p>
      <w:pPr>
        <w:pStyle w:val="6"/>
        <w:numPr>
          <w:ilvl w:val="0"/>
          <w:numId w:val="0"/>
        </w:numPr>
        <w:rPr>
          <w:rFonts w:hint="eastAsia"/>
        </w:rPr>
      </w:pPr>
    </w:p>
    <w:p/>
    <w:p/>
    <w:p/>
    <w:p>
      <w:pPr>
        <w:pStyle w:val="6"/>
        <w:numPr>
          <w:ilvl w:val="0"/>
          <w:numId w:val="3"/>
        </w:numPr>
        <w:ind w:firstLine="0"/>
        <w:rPr>
          <w:rFonts w:ascii="Segoe UI" w:hAnsi="Segoe UI" w:eastAsia="Segoe UI" w:cs="Segoe UI"/>
          <w:i w:val="0"/>
          <w:iCs w:val="0"/>
          <w:caps w:val="0"/>
          <w:color w:val="1E1F24"/>
          <w:spacing w:val="0"/>
          <w:sz w:val="24"/>
          <w:szCs w:val="24"/>
          <w:shd w:val="clear" w:fill="FFFFFF"/>
        </w:rPr>
      </w:pPr>
      <w:r>
        <w:t>分析与讨论</w:t>
      </w:r>
    </w:p>
    <w:p>
      <w:r>
        <w:rPr>
          <w:rFonts w:hint="eastAsia"/>
        </w:rPr>
        <w:t>以太坊是一种开源的分布式计算平台，它使用了区块链技术来实现去中心化的智能合约系统。以太坊的目标是成为一个全球化的通用计算机，允许每个人在其上开发和运行各种应用程序。智能合约是以太坊应用程序的基本构建块，它们是存储在区块链上的计算机程序，使得我们能够将传统合同转换为数字合同。通俗来说，以太坊智能合约是一种在以太坊平台上编写的计算机程序，它可以自动执行特定条件下的交易和操作，而无需第三方干预3。智能合约包含一组编程代码，定义了合约的规则和条件，当这些条件得到满足时，合约将自动执行预定的操作，例如转移数字资产、更新数据状态等。智能合约的主要优势在于其去中心化、自动化和无需信任的特性。它们通过区块链网络中的多个节点进行验证和确认，从而确保交易的真实性和可信度。此外，由于智能合约的代码和状态都被永久地记录在区块链上，因此它们具有高度的透明性和可追溯性。以太坊智能合约具有广泛的应用场景，如金融、物联网、供应链管理和知识产权交易等领域。它们可以用于自动化执行复杂的交易逻辑、管理数字资产和协调多方参与者的交互。</w:t>
      </w:r>
    </w:p>
    <w:p/>
    <w:p/>
    <w:p/>
    <w:p/>
    <w:sectPr>
      <w:headerReference r:id="rId5" w:type="first"/>
      <w:footerReference r:id="rId7" w:type="first"/>
      <w:headerReference r:id="rId3" w:type="default"/>
      <w:headerReference r:id="rId4" w:type="even"/>
      <w:footerReference r:id="rId6" w:type="even"/>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27"/>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27"/>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hint="eastAsia" w:ascii="宋体" w:hAnsi="宋体"/>
        <w:b/>
        <w:sz w:val="21"/>
        <w:szCs w:val="21"/>
        <w:u w:val="single"/>
        <w:lang w:val="en-US" w:eastAsia="zh-CN"/>
      </w:rPr>
      <w:t>实验三以太坊与智能合约</w:t>
    </w:r>
    <w:r>
      <w:rPr>
        <w:rFonts w:hint="eastAsia" w:ascii="宋体" w:hAnsi="宋体"/>
        <w:b/>
        <w:sz w:val="21"/>
        <w:szCs w:val="21"/>
        <w:u w:val="single"/>
      </w:rPr>
      <w:t xml:space="preserve"> </w:t>
    </w:r>
    <w:r>
      <w:rPr>
        <w:rFonts w:hint="eastAsia" w:ascii="宋体" w:hAnsi="宋体"/>
        <w:b/>
        <w:sz w:val="21"/>
        <w:szCs w:val="21"/>
      </w:rPr>
      <w:t>日期</w:t>
    </w:r>
    <w:r>
      <w:rPr>
        <w:rFonts w:ascii="宋体" w:hAnsi="宋体"/>
        <w:b/>
        <w:sz w:val="21"/>
        <w:szCs w:val="21"/>
        <w:u w:val="single"/>
      </w:rPr>
      <w:t xml:space="preserve">  </w:t>
    </w:r>
    <w:r>
      <w:rPr>
        <w:rFonts w:hint="eastAsia" w:ascii="宋体" w:hAnsi="宋体"/>
        <w:b/>
        <w:sz w:val="21"/>
        <w:szCs w:val="21"/>
        <w:u w:val="single"/>
        <w:lang w:val="en-US" w:eastAsia="zh-CN"/>
      </w:rPr>
      <w:t>2024.5.7</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lang w:val="en-US" w:eastAsia="zh-CN"/>
      </w:rPr>
      <w:t>徐江</w:t>
    </w:r>
    <w:r>
      <w:rPr>
        <w:rFonts w:ascii="宋体" w:hAnsi="宋体"/>
        <w:b/>
        <w:sz w:val="21"/>
        <w:szCs w:val="21"/>
        <w:u w:val="single"/>
      </w:rPr>
      <w:t xml:space="preserve">         </w:t>
    </w:r>
  </w:p>
  <w:p>
    <w:pPr>
      <w:pStyle w:val="3"/>
      <w:pBdr>
        <w:bottom w:val="single" w:color="auto" w:sz="6" w:space="27"/>
      </w:pBdr>
      <w:tabs>
        <w:tab w:val="left" w:pos="1656"/>
        <w:tab w:val="clear" w:pos="4153"/>
        <w:tab w:val="clear" w:pos="8306"/>
      </w:tabs>
      <w:jc w:val="left"/>
      <w:rPr>
        <w:rFonts w:ascii="宋体" w:hAnsi="宋体"/>
        <w:b/>
        <w:sz w:val="21"/>
        <w:szCs w:val="21"/>
        <w:u w:val="single"/>
      </w:rPr>
    </w:pPr>
  </w:p>
  <w:p>
    <w:pPr>
      <w:pStyle w:val="3"/>
      <w:pBdr>
        <w:bottom w:val="single" w:color="auto" w:sz="6" w:space="27"/>
      </w:pBdr>
      <w:jc w:val="left"/>
      <w:rPr>
        <w:rFonts w:hint="default" w:ascii="宋体" w:hAnsi="宋体" w:eastAsia="宋体"/>
        <w:b/>
        <w:sz w:val="21"/>
        <w:szCs w:val="21"/>
        <w:u w:val="single"/>
        <w:lang w:val="en-US" w:eastAsia="zh-CN"/>
      </w:rPr>
    </w:pPr>
    <w:r>
      <w:rPr>
        <w:rFonts w:hint="eastAsia" w:ascii="宋体" w:hAnsi="宋体"/>
        <w:b/>
        <w:sz w:val="21"/>
        <w:szCs w:val="21"/>
      </w:rPr>
      <w:t>学院</w:t>
    </w:r>
    <w:r>
      <w:rPr>
        <w:rFonts w:hint="eastAsia" w:ascii="宋体" w:hAnsi="宋体"/>
        <w:b/>
        <w:sz w:val="21"/>
        <w:szCs w:val="21"/>
        <w:u w:val="single"/>
        <w:lang w:val="en-US" w:eastAsia="zh-CN"/>
      </w:rPr>
      <w:t>计算机学院</w:t>
    </w:r>
    <w:r>
      <w:rPr>
        <w:rFonts w:hint="eastAsia" w:ascii="宋体" w:hAnsi="宋体"/>
        <w:b/>
        <w:sz w:val="21"/>
        <w:szCs w:val="21"/>
        <w:u w:val="single"/>
      </w:rPr>
      <w:t xml:space="preserve"> </w:t>
    </w:r>
    <w:r>
      <w:rPr>
        <w:rFonts w:hint="eastAsia" w:ascii="宋体" w:hAnsi="宋体"/>
        <w:b/>
        <w:sz w:val="21"/>
        <w:szCs w:val="21"/>
      </w:rPr>
      <w:t>专业</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CN"/>
      </w:rPr>
      <w:t>计算机科学与技术</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202</w:t>
    </w:r>
    <w:r>
      <w:rPr>
        <w:rFonts w:hint="eastAsia" w:ascii="宋体" w:hAnsi="宋体"/>
        <w:b/>
        <w:sz w:val="21"/>
        <w:szCs w:val="21"/>
        <w:u w:val="single"/>
        <w:lang w:val="en-US" w:eastAsia="zh-CN"/>
      </w:rPr>
      <w:t>1</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CN"/>
      </w:rPr>
      <w:t>5</w:t>
    </w:r>
    <w:r>
      <w:rPr>
        <w:rFonts w:ascii="宋体" w:hAnsi="宋体"/>
        <w:b/>
        <w:sz w:val="21"/>
        <w:szCs w:val="21"/>
        <w:u w:val="single"/>
      </w:rPr>
      <w:t xml:space="preserve">   </w:t>
    </w:r>
    <w:r>
      <w:rPr>
        <w:rFonts w:hint="eastAsia" w:ascii="宋体" w:hAnsi="宋体"/>
        <w:b/>
        <w:sz w:val="21"/>
        <w:szCs w:val="21"/>
      </w:rPr>
      <w:t>姓名</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CN"/>
      </w:rPr>
      <w:t>刘祥宇</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hint="eastAsia" w:ascii="宋体" w:hAnsi="宋体"/>
        <w:b/>
        <w:sz w:val="21"/>
        <w:szCs w:val="21"/>
        <w:u w:val="single"/>
        <w:lang w:val="en-US" w:eastAsia="zh-CN"/>
      </w:rPr>
      <w:t>202183290006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C1B76"/>
    <w:multiLevelType w:val="singleLevel"/>
    <w:tmpl w:val="A2BC1B76"/>
    <w:lvl w:ilvl="0" w:tentative="0">
      <w:start w:val="4"/>
      <w:numFmt w:val="decimal"/>
      <w:suff w:val="nothing"/>
      <w:lvlText w:val="%1．"/>
      <w:lvlJc w:val="left"/>
    </w:lvl>
  </w:abstractNum>
  <w:abstractNum w:abstractNumId="1">
    <w:nsid w:val="FA141D39"/>
    <w:multiLevelType w:val="singleLevel"/>
    <w:tmpl w:val="FA141D39"/>
    <w:lvl w:ilvl="0" w:tentative="0">
      <w:start w:val="1"/>
      <w:numFmt w:val="decimal"/>
      <w:suff w:val="nothing"/>
      <w:lvlText w:val="%1．"/>
      <w:lvlJc w:val="left"/>
    </w:lvl>
  </w:abstractNum>
  <w:abstractNum w:abstractNumId="2">
    <w:nsid w:val="109B9DDF"/>
    <w:multiLevelType w:val="singleLevel"/>
    <w:tmpl w:val="109B9DDF"/>
    <w:lvl w:ilvl="0" w:tentative="0">
      <w:start w:val="3"/>
      <w:numFmt w:val="decimal"/>
      <w:suff w:val="nothing"/>
      <w:lvlText w:val="%1．"/>
      <w:lvlJc w:val="left"/>
      <w:pPr>
        <w:ind w:left="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MDc3M2M1ZmNhYmUxNTQ2NTk4NThjNWQ4ZGY2NzMifQ=="/>
  </w:docVars>
  <w:rsids>
    <w:rsidRoot w:val="526F3AD7"/>
    <w:rsid w:val="0E047D54"/>
    <w:rsid w:val="526F3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标题4"/>
    <w:basedOn w:val="1"/>
    <w:qFormat/>
    <w:uiPriority w:val="0"/>
    <w:pPr>
      <w:adjustRightInd w:val="0"/>
      <w:snapToGrid w:val="0"/>
      <w:spacing w:line="315" w:lineRule="atLeast"/>
      <w:ind w:firstLine="425"/>
    </w:pPr>
    <w:rPr>
      <w:rFonts w:ascii="Arial" w:hAnsi="Arial" w:eastAsia="黑体"/>
    </w:rPr>
  </w:style>
  <w:style w:type="paragraph" w:customStyle="1" w:styleId="7">
    <w:name w:val="半行"/>
    <w:basedOn w:val="1"/>
    <w:qFormat/>
    <w:uiPriority w:val="0"/>
    <w:pPr>
      <w:topLinePunct/>
      <w:adjustRightInd w:val="0"/>
      <w:snapToGrid w:val="0"/>
      <w:spacing w:line="140" w:lineRule="exact"/>
      <w:ind w:firstLine="422"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2024-06-10T10:43:00Z</dcterms:created>
  <dc:creator>离小离</dc:creator>
  <cp:lastModifiedBy>我的悲伤逆流成河</cp:lastModifiedBy>
  <dcterms:modified xsi:type="dcterms:W3CDTF">2024-06-11T06:46:55Z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DC1AF2A86649480C9F336DDC14864BA1_13</vt:lpwstr>
  </property>
</Properties>
</file>