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맑은 고딕" w:hAnsi="맑은 고딕" w:eastAsia="맑은 고딕"/>
          <w:b/>
          <w:i w:val="0"/>
          <w:color w:val="003875"/>
          <w:sz w:val="36"/>
        </w:rPr>
        <w:t>주간 아파트 매매가격지수 예측 모델</w:t>
      </w:r>
    </w:p>
    <w:p>
      <w:pPr>
        <w:spacing w:after="360"/>
        <w:jc w:val="center"/>
      </w:pPr>
      <w:r>
        <w:rPr>
          <w:rFonts w:ascii="맑은 고딕" w:hAnsi="맑은 고딕" w:eastAsia="맑은 고딕"/>
          <w:b w:val="0"/>
          <w:i/>
          <w:color w:val="646464"/>
          <w:sz w:val="22"/>
        </w:rPr>
        <w:t>KB Land 데이터 기반  |  서울 6개 구  |  2026년 5월 25일 예측</w:t>
      </w:r>
    </w:p>
    <w:p>
      <w:pPr>
        <w:pStyle w:val="Heading1"/>
        <w:spacing w:before="240" w:after="100"/>
        <w:jc w:val="left"/>
      </w:pPr>
      <w:r>
        <w:rPr>
          <w:rFonts w:ascii="맑은 고딕" w:hAnsi="맑은 고딕" w:eastAsia="맑은 고딕"/>
          <w:b/>
          <w:i w:val="0"/>
          <w:color w:val="003875"/>
          <w:sz w:val="28"/>
        </w:rPr>
        <w:t>1. 데이터 설명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출처: KB 부동산 데이터허브 — 주간 아파트 매매가격지수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기간: 2021.05.10 ~ 2026.05.04 (251주 / 매주 월요일 기준)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대상: 서울 외곽 3구(노원·은평·서대문) + 강남 3구(서초·강남·송파)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지수 기준: 특정 기준 시점 = 100, 상대 가격 변화를 주단위로 추적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이벤트별 가격 변화량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이벤트 구분: ① COVID 급등기(2021.05~2022.06) / ② 금리인상 하락기(2022.07~2023.12) / ③ 회복기(2024.01~2026.05)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24063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s_01_stor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06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i/>
          <w:color w:val="646464"/>
          <w:sz w:val="18"/>
        </w:rPr>
        <w:t>[그림 1] 서울 6개 구 주간 아파트 매매가격지수 추이 — 이벤트 구간별 색상 구분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182143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s_02_event_impac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21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i/>
          <w:color w:val="646464"/>
          <w:sz w:val="18"/>
        </w:rPr>
        <w:t>[그림 2] 이벤트 구간별 구별 누적 가격 변화량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72"/>
        <w:gridCol w:w="1272"/>
        <w:gridCol w:w="1272"/>
        <w:gridCol w:w="1272"/>
        <w:gridCol w:w="1272"/>
        <w:gridCol w:w="1272"/>
        <w:gridCol w:w="1272"/>
      </w:tblGrid>
      <w:tr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구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COVID 급등기</w:t>
              <w:br/>
              <w:t>누적변화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COVID 급등기</w:t>
              <w:br/>
              <w:t>변화율(%)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금리인상 하락기</w:t>
              <w:br/>
              <w:t>누적변화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금리인상 하락기</w:t>
              <w:br/>
              <w:t>변화율(%)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회복기</w:t>
              <w:br/>
              <w:t>누적변화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회복기</w:t>
              <w:br/>
              <w:t>변화율(%)</w:t>
            </w:r>
          </w:p>
        </w:tc>
      </w:tr>
      <w:tr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노원구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+12.05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+11.4%</w:t>
            </w:r>
          </w:p>
        </w:tc>
        <w:tc>
          <w:tcPr>
            <w:tcW w:type="dxa" w:w="1272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-18.50</w:t>
            </w:r>
          </w:p>
        </w:tc>
        <w:tc>
          <w:tcPr>
            <w:tcW w:type="dxa" w:w="1272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-15.8%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+6.08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+6.1%</w:t>
            </w:r>
          </w:p>
        </w:tc>
      </w:tr>
      <w:tr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은평구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+9.84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+10.2%</w:t>
            </w:r>
          </w:p>
        </w:tc>
        <w:tc>
          <w:tcPr>
            <w:tcW w:type="dxa" w:w="1272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-10.47</w:t>
            </w:r>
          </w:p>
        </w:tc>
        <w:tc>
          <w:tcPr>
            <w:tcW w:type="dxa" w:w="1272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-9.8%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+7.39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+7.7%</w:t>
            </w:r>
          </w:p>
        </w:tc>
      </w:tr>
      <w:tr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서대문구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+6.67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+7.2%</w:t>
            </w:r>
          </w:p>
        </w:tc>
        <w:tc>
          <w:tcPr>
            <w:tcW w:type="dxa" w:w="1272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-10.59</w:t>
            </w:r>
          </w:p>
        </w:tc>
        <w:tc>
          <w:tcPr>
            <w:tcW w:type="dxa" w:w="1272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-10.7%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+18.75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+21.2%</w:t>
            </w:r>
          </w:p>
        </w:tc>
      </w:tr>
      <w:tr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서초구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+10.34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+14.0%</w:t>
            </w:r>
          </w:p>
        </w:tc>
        <w:tc>
          <w:tcPr>
            <w:tcW w:type="dxa" w:w="1272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-4.87</w:t>
            </w:r>
          </w:p>
        </w:tc>
        <w:tc>
          <w:tcPr>
            <w:tcW w:type="dxa" w:w="1272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-5.8%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+22.18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+27.9%</w:t>
            </w:r>
          </w:p>
        </w:tc>
      </w:tr>
      <w:tr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강남구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+7.04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+9.7%</w:t>
            </w:r>
          </w:p>
        </w:tc>
        <w:tc>
          <w:tcPr>
            <w:tcW w:type="dxa" w:w="1272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-3.37</w:t>
            </w:r>
          </w:p>
        </w:tc>
        <w:tc>
          <w:tcPr>
            <w:tcW w:type="dxa" w:w="1272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-4.2%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+23.43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+30.7%</w:t>
            </w:r>
          </w:p>
        </w:tc>
      </w:tr>
      <w:tr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송파구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+7.25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+10.0%</w:t>
            </w:r>
          </w:p>
        </w:tc>
        <w:tc>
          <w:tcPr>
            <w:tcW w:type="dxa" w:w="1272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-5.41</w:t>
            </w:r>
          </w:p>
        </w:tc>
        <w:tc>
          <w:tcPr>
            <w:tcW w:type="dxa" w:w="1272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-6.8%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+28.42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+38.1%</w:t>
            </w:r>
          </w:p>
        </w:tc>
      </w:tr>
      <w:tr>
        <w:tc>
          <w:tcPr>
            <w:tcW w:type="dxa" w:w="1272"/>
            <w:vAlign w:val="center"/>
            <w:shd w:val="clear" w:color="auto" w:fill="E8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평균</w:t>
            </w:r>
          </w:p>
        </w:tc>
        <w:tc>
          <w:tcPr>
            <w:tcW w:type="dxa" w:w="1272"/>
            <w:vAlign w:val="center"/>
            <w:shd w:val="clear" w:color="auto" w:fill="D4EDDA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+8.87</w:t>
            </w:r>
          </w:p>
        </w:tc>
        <w:tc>
          <w:tcPr>
            <w:tcW w:type="dxa" w:w="1272"/>
            <w:vAlign w:val="center"/>
            <w:shd w:val="clear" w:color="auto" w:fill="D4EDDA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+10.4%</w:t>
            </w:r>
          </w:p>
        </w:tc>
        <w:tc>
          <w:tcPr>
            <w:tcW w:type="dxa" w:w="1272"/>
            <w:vAlign w:val="center"/>
            <w:shd w:val="clear" w:color="auto" w:fill="F8D7DA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-8.87</w:t>
            </w:r>
          </w:p>
        </w:tc>
        <w:tc>
          <w:tcPr>
            <w:tcW w:type="dxa" w:w="1272"/>
            <w:vAlign w:val="center"/>
            <w:shd w:val="clear" w:color="auto" w:fill="F8D7DA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-8.8%</w:t>
            </w:r>
          </w:p>
        </w:tc>
        <w:tc>
          <w:tcPr>
            <w:tcW w:type="dxa" w:w="1272"/>
            <w:vAlign w:val="center"/>
            <w:shd w:val="clear" w:color="auto" w:fill="D4EDDA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+17.71</w:t>
            </w:r>
          </w:p>
        </w:tc>
        <w:tc>
          <w:tcPr>
            <w:tcW w:type="dxa" w:w="1272"/>
            <w:vAlign w:val="center"/>
            <w:shd w:val="clear" w:color="auto" w:fill="D4EDDA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+22.0%</w:t>
            </w:r>
          </w:p>
        </w:tc>
      </w:tr>
    </w:tbl>
    <w:p>
      <w:pPr>
        <w:spacing w:after="80"/>
      </w:pP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4842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s_04_regime_ba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84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i/>
          <w:color w:val="646464"/>
          <w:sz w:val="18"/>
        </w:rPr>
        <w:t>[그림 3] 시기별·지역별 누적 가격 변화율 — 같은 이벤트에도 지역마다 반응이 다름</w:t>
      </w:r>
    </w:p>
    <w:p>
      <w:r>
        <w:br w:type="page"/>
      </w:r>
    </w:p>
    <w:p>
      <w:pPr>
        <w:pStyle w:val="Heading1"/>
        <w:spacing w:before="240" w:after="100"/>
        <w:jc w:val="left"/>
      </w:pPr>
      <w:r>
        <w:rPr>
          <w:rFonts w:ascii="맑은 고딕" w:hAnsi="맑은 고딕" w:eastAsia="맑은 고딕"/>
          <w:b/>
          <w:i w:val="0"/>
          <w:color w:val="003875"/>
          <w:sz w:val="28"/>
        </w:rPr>
        <w:t>2. 전처리 및 분석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2.1 정상성 검정 (ADF)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726241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2_acf_pac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262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i/>
          <w:color w:val="646464"/>
          <w:sz w:val="18"/>
        </w:rPr>
        <w:t>[그림 4] ACF / PACF (1차 차분) — 6개 구, lag=30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ADF 검정: 원시 데이터에서 6개 구 모두 단위근 존재(비정상, p &gt; 0.05)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1차 차분 후 결과: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노원구: 비정상 (p = 0.2134)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은평구: 정상 (p &lt; 0.05)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서대문구: 비정상 (p = 0.1123)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서초구: 비정상 (p = 0.0579)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강남구: 비정상 (p = 0.0827)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송파구: 비정상 (p = 0.1248)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은평구만 1차 차분 후 정상 — 나머지 5개 구는 1차 차분으로 완전 정상화되지 않음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ARIMA는 d=1을 실용적 고정값으로 사용, NN은 차분 타겟 전략으로 비정상성을 우회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2.2 주기성 및 계절성 분석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282033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3_ff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20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i/>
          <w:color w:val="646464"/>
          <w:sz w:val="18"/>
        </w:rPr>
        <w:t>[그림 5] FFT 주기성 분석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FFT 분석 결과: 주요 주기 42~63주 — 연간 계절성(52주)보다 장기 사이클에 해당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503872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4_decomposi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38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i/>
          <w:color w:val="646464"/>
          <w:sz w:val="18"/>
        </w:rPr>
        <w:t>[그림 6] 시계열 분해 (원시 / 추세 / 계절 / 잔차) — 6개 구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계절 분해(seasonal_decompose) 결과: Seasonal 성분이 Trend 대비 극소 — 분해 그림 3열에서 직접 확인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18821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s_03_seasonalit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82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i/>
          <w:color w:val="646464"/>
          <w:sz w:val="18"/>
        </w:rPr>
        <w:t>[그림 7] 연도×월별 주간 변화율 히트맵 — 계절 반복 패턴 부재 확인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월별 히트맵: 같은 달이라도 연도마다 방향이 달라 반복 패턴 없음 — 계절성 부재 확인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결론: 아파트 주간 가격지수는 이사철 계절성보다 금리·정책 이벤트에 지배됨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특성 공학에 week/month 삼각함수 포함 — 탐색적 목적, 계절성 미약 시 모델이 자동으로 낮은 가중치 부여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2.3 지역 간 관계 및 선행-후행 분석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20876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5_correl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87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i/>
          <w:color w:val="646464"/>
          <w:sz w:val="18"/>
        </w:rPr>
        <w:t>[그림 8] 구별 가격지수 상관관계 — 수준 상관(좌) vs 차분 상관(우)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상관관계: 강남 3구 간 &gt; 외곽 3구 간 &gt; 강남-외곽 간 순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수준 상관: 노원-강남 –0.286(음의 상관) / 차분 상관: +0.420(양의 상관) — 추세 방향은 반대, 변화율 방향은 동조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195247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s_05_lead_la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52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i/>
          <w:color w:val="646464"/>
          <w:sz w:val="18"/>
        </w:rPr>
        <w:t>[그림 9] 강남·서초 vs 노원 선행 효과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선행-후행: 강남·서초 lag=1(1주 선행)에서 노원과의 상관이 최고 — 강남 → 외곽 낙수 구조 확인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실용적 반영: 특성 공학에 gangnam_nowon_spread(강남-노원 스프레드), 교차 구 lag 특성 포함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2.4 충격반응분석 (VAR-IRF)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241726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s_07_irf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17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i/>
          <w:color w:val="646464"/>
          <w:sz w:val="18"/>
        </w:rPr>
        <w:t>[그림 10] VAR 충격반응함수(IRF) — 강남구 충격에 대한 6개 구 반응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VAR(벡터자기회귀) 모델: 6개 구 1차 차분 데이터, 최적 시차 7주(AIC 기준)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IRF 결과: 강남구 충격 시 외곽 3구는 1~2주 후 반응 시작, 약 6~8주에 걸쳐 흡수 → 0 수렴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SEQ_LEN 결정 근거로 활용: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VAR 최적 시차 7주 × 2 = 14주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IRF 흡수 기간 ~6~8주의 2배 = 12~16주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데이터 제약(시퀀스 수 100개 이상 유지) → SEQ_LEN = 16주 채택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2.5 특성 공학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입력 특성 총 164개 — 6개 구 × 각 특성 종류: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Lag: lag_1 ~ lag_16 (직전 16주)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Rolling: 평균·표준편차 (4·8·12주)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Diff: 1차·2차 차분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YoY: lag_52 (전년 동기)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Temporal: week_sin/cos, month_sin/cos, trend_idx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Cross: gangnam_nowon_spread, seoul_avg, seoul_avg_diff1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스케일러(MinMaxScaler): 훈련 데이터(70%)에만 fit — 미래 정보 유입 차단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타겟: 절대 지수가 아닌 누적 차분(Δ) 예측 — 훈련·테스트 분포 불일치 문제 해소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데이터 분할: 훈련 70%(121 시퀀스) / 검증 10%(20) / 테스트 20%(40)</w:t>
      </w:r>
    </w:p>
    <w:p>
      <w:r>
        <w:br w:type="page"/>
      </w:r>
    </w:p>
    <w:p>
      <w:pPr>
        <w:pStyle w:val="Heading1"/>
        <w:spacing w:before="240" w:after="100"/>
        <w:jc w:val="left"/>
      </w:pPr>
      <w:r>
        <w:rPr>
          <w:rFonts w:ascii="맑은 고딕" w:hAnsi="맑은 고딕" w:eastAsia="맑은 고딕"/>
          <w:b/>
          <w:i w:val="0"/>
          <w:color w:val="003875"/>
          <w:sz w:val="28"/>
        </w:rPr>
        <w:t>3. 학습 설계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3.1 모델 구성 및 하이퍼파라미터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기준 모델: ARIMA(p,1,q) — 구별 최적 차수 그리드 서치(AIC), walk-forward 공정 평가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딥러닝 3종: SimpleRNN / LSTM / GRU — PyTorch 구현, 6개 구 동시 출력(다중 타겟)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입력 투영 레이어 (Proj): 164차원 특성 → 32차원 압축 (Linear + LayerNorm + ReLU)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투영 효과: 상관된 lag 특성의 잡음 감소, 훈련 시퀀스 121개 대비 파라미터 과잉 방지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공통 하이퍼파라미터: proj=32, hidden=64, dropout=0.2, batch=16, epochs=150(early stop patience=20)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Optimizer: Adam (lr=1e-3, weight_decay=1e-5)  /  Scheduler: ReduceLROnPlateau(patience=5)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Gradient Clipping: max_norm=1.0 — 기울기 폭발 방지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80"/>
        <w:gridCol w:w="1780"/>
        <w:gridCol w:w="1780"/>
        <w:gridCol w:w="1780"/>
        <w:gridCol w:w="1780"/>
      </w:tblGrid>
      <w:tr>
        <w:tc>
          <w:tcPr>
            <w:tcW w:type="dxa" w:w="1780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모델</w:t>
            </w:r>
          </w:p>
        </w:tc>
        <w:tc>
          <w:tcPr>
            <w:tcW w:type="dxa" w:w="1780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구조</w:t>
            </w:r>
          </w:p>
        </w:tc>
        <w:tc>
          <w:tcPr>
            <w:tcW w:type="dxa" w:w="1780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레이어</w:t>
            </w:r>
          </w:p>
        </w:tc>
        <w:tc>
          <w:tcPr>
            <w:tcW w:type="dxa" w:w="1780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학습 파라미터</w:t>
            </w:r>
          </w:p>
        </w:tc>
        <w:tc>
          <w:tcPr>
            <w:tcW w:type="dxa" w:w="1780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ARIMA 차수(구별)</w:t>
            </w:r>
          </w:p>
        </w:tc>
      </w:tr>
      <w:tr>
        <w:tc>
          <w:tcPr>
            <w:tcW w:type="dxa" w:w="1780"/>
            <w:vAlign w:val="center"/>
            <w:shd w:val="clear" w:color="auto" w:fill="FFF9C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ARIMA</w:t>
            </w:r>
          </w:p>
        </w:tc>
        <w:tc>
          <w:tcPr>
            <w:tcW w:type="dxa" w:w="1780"/>
            <w:vAlign w:val="center"/>
            <w:shd w:val="clear" w:color="auto" w:fill="FFF9C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p·d·q 자기회귀</w:t>
            </w:r>
          </w:p>
        </w:tc>
        <w:tc>
          <w:tcPr>
            <w:tcW w:type="dxa" w:w="1780"/>
            <w:vAlign w:val="center"/>
            <w:shd w:val="clear" w:color="auto" w:fill="FFF9C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d=1 고정</w:t>
            </w:r>
          </w:p>
        </w:tc>
        <w:tc>
          <w:tcPr>
            <w:tcW w:type="dxa" w:w="1780"/>
            <w:vAlign w:val="center"/>
            <w:shd w:val="clear" w:color="auto" w:fill="FFF9C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평균 4개/구</w:t>
            </w:r>
          </w:p>
        </w:tc>
        <w:tc>
          <w:tcPr>
            <w:tcW w:type="dxa" w:w="1780"/>
            <w:vAlign w:val="center"/>
            <w:shd w:val="clear" w:color="auto" w:fill="FFF9C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노원구: [1, 1, 1] / 은평구: [3, 1, 3] / 서대문구: [1, 1, 1]</w:t>
              <w:br/>
              <w:t>서초구: [2, 1, 0] / 강남구: [2, 1, 1] / 송파구: [1, 1, 0]</w:t>
            </w:r>
          </w:p>
        </w:tc>
      </w:tr>
      <w:tr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SimpleRNN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Proj(164→32) → RNN → FC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1층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12,786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—</w:t>
            </w:r>
          </w:p>
        </w:tc>
      </w:tr>
      <w:tr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LSTM</w:t>
            </w:r>
          </w:p>
        </w:tc>
        <w:tc>
          <w:tcPr>
            <w:tcW w:type="dxa" w:w="1780"/>
            <w:vAlign w:val="center"/>
            <w:shd w:val="clear" w:color="auto" w:fill="FFFFFF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Proj(164→32) → LSTM → FC</w:t>
            </w:r>
          </w:p>
        </w:tc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2층</w:t>
            </w:r>
          </w:p>
        </w:tc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64,882</w:t>
            </w:r>
          </w:p>
        </w:tc>
        <w:tc>
          <w:tcPr>
            <w:tcW w:type="dxa" w:w="1780"/>
            <w:vAlign w:val="center"/>
            <w:shd w:val="clear" w:color="auto" w:fill="FFFFFF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—</w:t>
            </w:r>
          </w:p>
        </w:tc>
      </w:tr>
      <w:tr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GRU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Proj(164→32) → GRU → FC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2층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50,290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—</w:t>
            </w:r>
          </w:p>
        </w:tc>
      </w:tr>
    </w:tbl>
    <w:p>
      <w:pPr>
        <w:spacing w:after="80"/>
      </w:pP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3.2 예측 설계 근거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예측 기간 3주: 과제 요구사항 — 목표일 2026-05-25 = 마지막 데이터 2026-05-04 + 3주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입력 길이 16주: 세 근거의 교집합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VAR 최적 시차 7주 × 2 = 14주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IRF 충격 흡수 기간 6~8주의 2배 = 12~16주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데이터 제약: SEQ_LEN &gt; 20 시 훈련 시퀀스 &lt; 100개로 과적합 위험 증가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출력 방식: 직접 다중 출력 — t+1·t+2·t+3 동시 예측, 오차 누적 방지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평가 방식: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ARIMA: 매 시점 실제값 갱신 후 1-step 예측 (롤링 단기예측)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딥러닝: 고정 입력 시퀀스로 t+1·t+2·t+3 동시 예측 (3-step 직접 다중 출력)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최종 모델 선택: RMSE 기준 전 모델 포함 최우수 → ARIMA 채택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3.3 평가 지표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RMSE: 주지표 — 극단 오차에 가중치, 모델 간 정렬 기준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MAE: 평균 절대 오차 — "평균 X포인트 틀렸다"로 직관적 해석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MAPE: 오차 비율(%) — 구별·모델별 크기 무관 비교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DA(방향정확도): 오를지/내릴지 방향 일치율 — 투자 신호 관점의 실용 지표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R²: 설명력 — 3개 horizon 별도 산출(H+1·H+2·H+3)하여 단계별 정확도 저하 확인</w:t>
      </w:r>
    </w:p>
    <w:p>
      <w:r>
        <w:br w:type="page"/>
      </w:r>
    </w:p>
    <w:p>
      <w:pPr>
        <w:pStyle w:val="Heading1"/>
        <w:spacing w:before="240" w:after="100"/>
        <w:jc w:val="left"/>
      </w:pPr>
      <w:r>
        <w:rPr>
          <w:rFonts w:ascii="맑은 고딕" w:hAnsi="맑은 고딕" w:eastAsia="맑은 고딕"/>
          <w:b/>
          <w:i w:val="0"/>
          <w:color w:val="003875"/>
          <w:sz w:val="28"/>
        </w:rPr>
        <w:t>4. 학습 결과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4.1 손실 곡선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150994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6_loss_curv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509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i/>
          <w:color w:val="646464"/>
          <w:sz w:val="18"/>
        </w:rPr>
        <w:t>[그림 11] 모델별 학습/검증 손실 곡선 (log scale)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LSTM·GRU: 검증 손실이 훈련 손실과 유사하게 수렴 — 과적합 없음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SimpleRNN: 검증 손실 변동폭 상대적으로 큼 — 표현력 한계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Early stopping이 epochs &lt; 150에서 발동 — 과적합 진입 전 학습 종료 확인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4.2 모델 종합 성능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03370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s_06_model_compar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0337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i/>
          <w:color w:val="646464"/>
          <w:sz w:val="18"/>
        </w:rPr>
        <w:t>[그림 12] 모델별 평균 RMSE·DA 비교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84"/>
        <w:gridCol w:w="1484"/>
        <w:gridCol w:w="1484"/>
        <w:gridCol w:w="1484"/>
        <w:gridCol w:w="1484"/>
        <w:gridCol w:w="1484"/>
      </w:tblGrid>
      <w:tr>
        <w:tc>
          <w:tcPr>
            <w:tcW w:type="dxa" w:w="1484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모델</w:t>
            </w:r>
          </w:p>
        </w:tc>
        <w:tc>
          <w:tcPr>
            <w:tcW w:type="dxa" w:w="1484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RMSE ↓</w:t>
            </w:r>
          </w:p>
        </w:tc>
        <w:tc>
          <w:tcPr>
            <w:tcW w:type="dxa" w:w="1484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MAE ↓</w:t>
            </w:r>
          </w:p>
        </w:tc>
        <w:tc>
          <w:tcPr>
            <w:tcW w:type="dxa" w:w="1484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MAPE ↓</w:t>
            </w:r>
          </w:p>
        </w:tc>
        <w:tc>
          <w:tcPr>
            <w:tcW w:type="dxa" w:w="1484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R² ↑</w:t>
            </w:r>
          </w:p>
        </w:tc>
        <w:tc>
          <w:tcPr>
            <w:tcW w:type="dxa" w:w="1484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DA(%) ↑</w:t>
            </w:r>
          </w:p>
        </w:tc>
      </w:tr>
      <w:tr>
        <w:tc>
          <w:tcPr>
            <w:tcW w:type="dxa" w:w="1484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[1위] ARIMA</w:t>
            </w:r>
          </w:p>
        </w:tc>
        <w:tc>
          <w:tcPr>
            <w:tcW w:type="dxa" w:w="1484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0.294</w:t>
            </w:r>
          </w:p>
        </w:tc>
        <w:tc>
          <w:tcPr>
            <w:tcW w:type="dxa" w:w="1484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0.198</w:t>
            </w:r>
          </w:p>
        </w:tc>
        <w:tc>
          <w:tcPr>
            <w:tcW w:type="dxa" w:w="1484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0.21%</w:t>
            </w:r>
          </w:p>
        </w:tc>
        <w:tc>
          <w:tcPr>
            <w:tcW w:type="dxa" w:w="1484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0.993</w:t>
            </w:r>
          </w:p>
        </w:tc>
        <w:tc>
          <w:tcPr>
            <w:tcW w:type="dxa" w:w="1484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98.5%</w:t>
            </w:r>
          </w:p>
        </w:tc>
      </w:tr>
      <w:tr>
        <w:tc>
          <w:tcPr>
            <w:tcW w:type="dxa" w:w="1484"/>
            <w:vAlign w:val="center"/>
            <w:shd w:val="clear" w:color="auto" w:fill="EBF3FB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[최우수NN] GRU</w:t>
            </w:r>
          </w:p>
        </w:tc>
        <w:tc>
          <w:tcPr>
            <w:tcW w:type="dxa" w:w="1484"/>
            <w:vAlign w:val="center"/>
            <w:shd w:val="clear" w:color="auto" w:fill="EBF3FB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0.463</w:t>
            </w:r>
          </w:p>
        </w:tc>
        <w:tc>
          <w:tcPr>
            <w:tcW w:type="dxa" w:w="1484"/>
            <w:vAlign w:val="center"/>
            <w:shd w:val="clear" w:color="auto" w:fill="EBF3FB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0.343</w:t>
            </w:r>
          </w:p>
        </w:tc>
        <w:tc>
          <w:tcPr>
            <w:tcW w:type="dxa" w:w="1484"/>
            <w:vAlign w:val="center"/>
            <w:shd w:val="clear" w:color="auto" w:fill="EBF3FB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0.35%</w:t>
            </w:r>
          </w:p>
        </w:tc>
        <w:tc>
          <w:tcPr>
            <w:tcW w:type="dxa" w:w="1484"/>
            <w:vAlign w:val="center"/>
            <w:shd w:val="clear" w:color="auto" w:fill="EBF3FB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0.975</w:t>
            </w:r>
          </w:p>
        </w:tc>
        <w:tc>
          <w:tcPr>
            <w:tcW w:type="dxa" w:w="1484"/>
            <w:vAlign w:val="center"/>
            <w:shd w:val="clear" w:color="auto" w:fill="EBF3FB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87.1%</w:t>
            </w:r>
          </w:p>
        </w:tc>
      </w:tr>
      <w:tr>
        <w:tc>
          <w:tcPr>
            <w:tcW w:type="dxa" w:w="1484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SimpleRNN</w:t>
            </w:r>
          </w:p>
        </w:tc>
        <w:tc>
          <w:tcPr>
            <w:tcW w:type="dxa" w:w="1484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0.486</w:t>
            </w:r>
          </w:p>
        </w:tc>
        <w:tc>
          <w:tcPr>
            <w:tcW w:type="dxa" w:w="1484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0.372</w:t>
            </w:r>
          </w:p>
        </w:tc>
        <w:tc>
          <w:tcPr>
            <w:tcW w:type="dxa" w:w="1484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0.38%</w:t>
            </w:r>
          </w:p>
        </w:tc>
        <w:tc>
          <w:tcPr>
            <w:tcW w:type="dxa" w:w="1484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0.967</w:t>
            </w:r>
          </w:p>
        </w:tc>
        <w:tc>
          <w:tcPr>
            <w:tcW w:type="dxa" w:w="1484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76.5%</w:t>
            </w:r>
          </w:p>
        </w:tc>
      </w:tr>
      <w:tr>
        <w:tc>
          <w:tcPr>
            <w:tcW w:type="dxa" w:w="1484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LSTM</w:t>
            </w:r>
          </w:p>
        </w:tc>
        <w:tc>
          <w:tcPr>
            <w:tcW w:type="dxa" w:w="1484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0.508</w:t>
            </w:r>
          </w:p>
        </w:tc>
        <w:tc>
          <w:tcPr>
            <w:tcW w:type="dxa" w:w="1484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0.377</w:t>
            </w:r>
          </w:p>
        </w:tc>
        <w:tc>
          <w:tcPr>
            <w:tcW w:type="dxa" w:w="1484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0.38%</w:t>
            </w:r>
          </w:p>
        </w:tc>
        <w:tc>
          <w:tcPr>
            <w:tcW w:type="dxa" w:w="1484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0.964</w:t>
            </w:r>
          </w:p>
        </w:tc>
        <w:tc>
          <w:tcPr>
            <w:tcW w:type="dxa" w:w="1484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67.5%</w:t>
            </w:r>
          </w:p>
        </w:tc>
      </w:tr>
    </w:tbl>
    <w:p>
      <w:pPr>
        <w:spacing w:after="80"/>
      </w:pP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★ ARIMA(walk-forward): RMSE 0.294, DA 98.5% — 전체 1위, 최종 채택 모델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참고 NN GRU: RMSE 0.463, DA 87.1%, R² 0.975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완만한 회복기(2025~2026)에서 ARIMA 우위 — 직전 실제값을 참조하는 롤링 구조가 이 구간 데이터에 적합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ARIMA 단변량 구조상 급격한 레짐 변화(정책·금리 충격) 시 즉각 대응 어려움 — 한계로 명시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4.3 지역별 RMSE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80"/>
        <w:gridCol w:w="1780"/>
        <w:gridCol w:w="1780"/>
        <w:gridCol w:w="1780"/>
        <w:gridCol w:w="1780"/>
      </w:tblGrid>
      <w:tr>
        <w:tc>
          <w:tcPr>
            <w:tcW w:type="dxa" w:w="1780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구</w:t>
            </w:r>
          </w:p>
        </w:tc>
        <w:tc>
          <w:tcPr>
            <w:tcW w:type="dxa" w:w="1780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ARIMA</w:t>
            </w:r>
          </w:p>
        </w:tc>
        <w:tc>
          <w:tcPr>
            <w:tcW w:type="dxa" w:w="1780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SimpleRNN</w:t>
            </w:r>
          </w:p>
        </w:tc>
        <w:tc>
          <w:tcPr>
            <w:tcW w:type="dxa" w:w="1780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LSTM</w:t>
            </w:r>
          </w:p>
        </w:tc>
        <w:tc>
          <w:tcPr>
            <w:tcW w:type="dxa" w:w="1780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GRU</w:t>
            </w:r>
          </w:p>
        </w:tc>
      </w:tr>
      <w:tr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노원구</w:t>
            </w:r>
          </w:p>
        </w:tc>
        <w:tc>
          <w:tcPr>
            <w:tcW w:type="dxa" w:w="1780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0.204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0.564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0.626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0.381</w:t>
            </w:r>
          </w:p>
        </w:tc>
      </w:tr>
      <w:tr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은평구</w:t>
            </w:r>
          </w:p>
        </w:tc>
        <w:tc>
          <w:tcPr>
            <w:tcW w:type="dxa" w:w="1780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0.143</w:t>
            </w:r>
          </w:p>
        </w:tc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0.400</w:t>
            </w:r>
          </w:p>
        </w:tc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0.366</w:t>
            </w:r>
          </w:p>
        </w:tc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0.307</w:t>
            </w:r>
          </w:p>
        </w:tc>
      </w:tr>
      <w:tr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서대문구</w:t>
            </w:r>
          </w:p>
        </w:tc>
        <w:tc>
          <w:tcPr>
            <w:tcW w:type="dxa" w:w="1780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0.351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0.649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0.772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0.728</w:t>
            </w:r>
          </w:p>
        </w:tc>
      </w:tr>
      <w:tr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서초구</w:t>
            </w:r>
          </w:p>
        </w:tc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0.261</w:t>
            </w:r>
          </w:p>
        </w:tc>
        <w:tc>
          <w:tcPr>
            <w:tcW w:type="dxa" w:w="1780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0.252</w:t>
            </w:r>
          </w:p>
        </w:tc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0.297</w:t>
            </w:r>
          </w:p>
        </w:tc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0.316</w:t>
            </w:r>
          </w:p>
        </w:tc>
      </w:tr>
      <w:tr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강남구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0.383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0.431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0.354</w:t>
            </w:r>
          </w:p>
        </w:tc>
        <w:tc>
          <w:tcPr>
            <w:tcW w:type="dxa" w:w="1780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0.346</w:t>
            </w:r>
          </w:p>
        </w:tc>
      </w:tr>
      <w:tr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송파구</w:t>
            </w:r>
          </w:p>
        </w:tc>
        <w:tc>
          <w:tcPr>
            <w:tcW w:type="dxa" w:w="1780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0.421</w:t>
            </w:r>
          </w:p>
        </w:tc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0.621</w:t>
            </w:r>
          </w:p>
        </w:tc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0.633</w:t>
            </w:r>
          </w:p>
        </w:tc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0.703</w:t>
            </w:r>
          </w:p>
        </w:tc>
      </w:tr>
    </w:tbl>
    <w:p>
      <w:pPr>
        <w:spacing w:after="80"/>
      </w:pP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4.4 예측 단계별 정확도 — GRU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H+1: 1주 후 / H+2: 2주 후 / H+3: 3주 후 — 각 horizon별 R²·RMSE 개별 산출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72"/>
        <w:gridCol w:w="1272"/>
        <w:gridCol w:w="1272"/>
        <w:gridCol w:w="1272"/>
        <w:gridCol w:w="1272"/>
        <w:gridCol w:w="1272"/>
        <w:gridCol w:w="1272"/>
      </w:tblGrid>
      <w:tr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구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R² H+1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R² H+2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R² H+3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RMSE H+1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RMSE H+2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RMSE H+3</w:t>
            </w:r>
          </w:p>
        </w:tc>
      </w:tr>
      <w:tr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노원구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0.991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0.964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0.958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0.203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0.417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0.469</w:t>
            </w:r>
          </w:p>
        </w:tc>
      </w:tr>
      <w:tr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은평구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0.987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0.974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0.944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0.185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0.275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0.416</w:t>
            </w:r>
          </w:p>
        </w:tc>
      </w:tr>
      <w:tr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서대문구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0.986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0.969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0.943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0.455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0.689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0.952</w:t>
            </w:r>
          </w:p>
        </w:tc>
      </w:tr>
      <w:tr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서초구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0.998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0.989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0.973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0.127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0.295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0.443</w:t>
            </w:r>
          </w:p>
        </w:tc>
      </w:tr>
      <w:tr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강남구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0.995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0.985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0.965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0.184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0.323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0.471</w:t>
            </w:r>
          </w:p>
        </w:tc>
      </w:tr>
      <w:tr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송파구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0.997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0.980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0.960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0.282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0.690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0.963</w:t>
            </w:r>
          </w:p>
        </w:tc>
      </w:tr>
      <w:tr>
        <w:tc>
          <w:tcPr>
            <w:tcW w:type="dxa" w:w="1272"/>
            <w:vAlign w:val="center"/>
            <w:shd w:val="clear" w:color="auto" w:fill="E8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평균</w:t>
            </w:r>
          </w:p>
        </w:tc>
        <w:tc>
          <w:tcPr>
            <w:tcW w:type="dxa" w:w="1272"/>
            <w:vAlign w:val="center"/>
            <w:shd w:val="clear" w:color="auto" w:fill="E8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0.992</w:t>
            </w:r>
          </w:p>
        </w:tc>
        <w:tc>
          <w:tcPr>
            <w:tcW w:type="dxa" w:w="1272"/>
            <w:vAlign w:val="center"/>
            <w:shd w:val="clear" w:color="auto" w:fill="E8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0.977</w:t>
            </w:r>
          </w:p>
        </w:tc>
        <w:tc>
          <w:tcPr>
            <w:tcW w:type="dxa" w:w="1272"/>
            <w:vAlign w:val="center"/>
            <w:shd w:val="clear" w:color="auto" w:fill="E8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0.957</w:t>
            </w:r>
          </w:p>
        </w:tc>
        <w:tc>
          <w:tcPr>
            <w:tcW w:type="dxa" w:w="1272"/>
            <w:vAlign w:val="center"/>
            <w:shd w:val="clear" w:color="auto" w:fill="E8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0.239</w:t>
            </w:r>
          </w:p>
        </w:tc>
        <w:tc>
          <w:tcPr>
            <w:tcW w:type="dxa" w:w="1272"/>
            <w:vAlign w:val="center"/>
            <w:shd w:val="clear" w:color="auto" w:fill="E8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0.448</w:t>
            </w:r>
          </w:p>
        </w:tc>
        <w:tc>
          <w:tcPr>
            <w:tcW w:type="dxa" w:w="1272"/>
            <w:vAlign w:val="center"/>
            <w:shd w:val="clear" w:color="auto" w:fill="E8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0.619</w:t>
            </w:r>
          </w:p>
        </w:tc>
      </w:tr>
    </w:tbl>
    <w:p>
      <w:pPr>
        <w:spacing w:after="80"/>
      </w:pP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H+1 → H+3 진행 시 R² 감소·RMSE 증가가 일반적 — 먼 미래일수록 불확실성 증가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4.5 최종 예측 결과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모델별 예측 vs 실제값 비교 (테스트 구간)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428301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7_final_SimpleRN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283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i/>
          <w:color w:val="646464"/>
          <w:sz w:val="18"/>
        </w:rPr>
        <w:t>[그림 13] SimpleRNN 예측 vs 실제 — RMSE 0.486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428301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7_final_LSTM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283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i/>
          <w:color w:val="646464"/>
          <w:sz w:val="18"/>
        </w:rPr>
        <w:t>[그림 14] LSTM 예측 vs 실제 — RMSE 0.508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57839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7_final_GRU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78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i/>
          <w:color w:val="646464"/>
          <w:sz w:val="18"/>
        </w:rPr>
        <w:t>[그림 15] GRU 테스트 구간 예측 vs 실제 / 향후 3주 예측(★) — RMSE 0.463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테스트셋: 모델 학습에 미사용 구간 — RMSE 0.463, MAPE 0.35%, DA 87.1%, R² 0.975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R² 0.975: 실제 가격 변동의 97.5%를 모델이 설명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DA 87.1%: 오를지/내릴지 방향을 87%확률로 정확 예측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향후 3주 예측 (채택 모델: ARIMA):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72"/>
        <w:gridCol w:w="1272"/>
        <w:gridCol w:w="1272"/>
        <w:gridCol w:w="1272"/>
        <w:gridCol w:w="1272"/>
        <w:gridCol w:w="1272"/>
        <w:gridCol w:w="1272"/>
      </w:tblGrid>
      <w:tr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예측일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노원구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은평구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서대문구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서초구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강남구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송파구</w:t>
            </w:r>
          </w:p>
        </w:tc>
      </w:tr>
      <w:tr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 xml:space="preserve">  2026-05-11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104.96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103.40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106.81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101.84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99.84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103.16</w:t>
            </w:r>
          </w:p>
        </w:tc>
      </w:tr>
      <w:tr>
        <w:tc>
          <w:tcPr>
            <w:tcW w:type="dxa" w:w="1272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 xml:space="preserve">  2026-05-18</w:t>
            </w:r>
          </w:p>
        </w:tc>
        <w:tc>
          <w:tcPr>
            <w:tcW w:type="dxa" w:w="1272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104.99</w:t>
            </w:r>
          </w:p>
        </w:tc>
        <w:tc>
          <w:tcPr>
            <w:tcW w:type="dxa" w:w="1272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103.52</w:t>
            </w:r>
          </w:p>
        </w:tc>
        <w:tc>
          <w:tcPr>
            <w:tcW w:type="dxa" w:w="1272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107.03</w:t>
            </w:r>
          </w:p>
        </w:tc>
        <w:tc>
          <w:tcPr>
            <w:tcW w:type="dxa" w:w="1272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101.81</w:t>
            </w:r>
          </w:p>
        </w:tc>
        <w:tc>
          <w:tcPr>
            <w:tcW w:type="dxa" w:w="1272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99.94</w:t>
            </w:r>
          </w:p>
        </w:tc>
        <w:tc>
          <w:tcPr>
            <w:tcW w:type="dxa" w:w="1272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103.07</w:t>
            </w:r>
          </w:p>
        </w:tc>
      </w:tr>
      <w:tr>
        <w:tc>
          <w:tcPr>
            <w:tcW w:type="dxa" w:w="1272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★ 2026-05-25</w:t>
            </w:r>
          </w:p>
        </w:tc>
        <w:tc>
          <w:tcPr>
            <w:tcW w:type="dxa" w:w="1272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105.79</w:t>
            </w:r>
          </w:p>
        </w:tc>
        <w:tc>
          <w:tcPr>
            <w:tcW w:type="dxa" w:w="1272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104.02</w:t>
            </w:r>
          </w:p>
        </w:tc>
        <w:tc>
          <w:tcPr>
            <w:tcW w:type="dxa" w:w="1272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107.73</w:t>
            </w:r>
          </w:p>
        </w:tc>
        <w:tc>
          <w:tcPr>
            <w:tcW w:type="dxa" w:w="1272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101.73</w:t>
            </w:r>
          </w:p>
        </w:tc>
        <w:tc>
          <w:tcPr>
            <w:tcW w:type="dxa" w:w="1272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99.32</w:t>
            </w:r>
          </w:p>
        </w:tc>
        <w:tc>
          <w:tcPr>
            <w:tcW w:type="dxa" w:w="1272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103.19</w:t>
            </w:r>
          </w:p>
        </w:tc>
      </w:tr>
    </w:tbl>
    <w:p>
      <w:pPr>
        <w:spacing w:after="80"/>
      </w:pP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★ 2026-05-25: ARIMA 예측값 (RMSE 기준 최우수 채택) / 2026-05-11·18: GRU 추이 참고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ARIMA ★ vs GRU 2026-05-25 비교: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25"/>
        <w:gridCol w:w="2225"/>
        <w:gridCol w:w="2225"/>
        <w:gridCol w:w="2225"/>
      </w:tblGrid>
      <w:tr>
        <w:tc>
          <w:tcPr>
            <w:tcW w:type="dxa" w:w="2225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구</w:t>
            </w:r>
          </w:p>
        </w:tc>
        <w:tc>
          <w:tcPr>
            <w:tcW w:type="dxa" w:w="2225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ARIMA 예측 ★</w:t>
            </w:r>
          </w:p>
        </w:tc>
        <w:tc>
          <w:tcPr>
            <w:tcW w:type="dxa" w:w="2225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GRU 예측</w:t>
            </w:r>
          </w:p>
        </w:tc>
        <w:tc>
          <w:tcPr>
            <w:tcW w:type="dxa" w:w="2225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차이</w:t>
            </w:r>
          </w:p>
        </w:tc>
      </w:tr>
      <w:tr>
        <w:tc>
          <w:tcPr>
            <w:tcW w:type="dxa" w:w="2225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노원구</w:t>
            </w:r>
          </w:p>
        </w:tc>
        <w:tc>
          <w:tcPr>
            <w:tcW w:type="dxa" w:w="2225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105.79</w:t>
            </w:r>
          </w:p>
        </w:tc>
        <w:tc>
          <w:tcPr>
            <w:tcW w:type="dxa" w:w="2225"/>
            <w:vAlign w:val="center"/>
            <w:shd w:val="clear" w:color="auto" w:fill="FFF9C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105.20</w:t>
            </w:r>
          </w:p>
        </w:tc>
        <w:tc>
          <w:tcPr>
            <w:tcW w:type="dxa" w:w="2225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+0.59</w:t>
            </w:r>
          </w:p>
        </w:tc>
      </w:tr>
      <w:tr>
        <w:tc>
          <w:tcPr>
            <w:tcW w:type="dxa" w:w="2225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은평구</w:t>
            </w:r>
          </w:p>
        </w:tc>
        <w:tc>
          <w:tcPr>
            <w:tcW w:type="dxa" w:w="2225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104.02</w:t>
            </w:r>
          </w:p>
        </w:tc>
        <w:tc>
          <w:tcPr>
            <w:tcW w:type="dxa" w:w="2225"/>
            <w:vAlign w:val="center"/>
            <w:shd w:val="clear" w:color="auto" w:fill="FFF9C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103.54</w:t>
            </w:r>
          </w:p>
        </w:tc>
        <w:tc>
          <w:tcPr>
            <w:tcW w:type="dxa" w:w="2225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+0.48</w:t>
            </w:r>
          </w:p>
        </w:tc>
      </w:tr>
      <w:tr>
        <w:tc>
          <w:tcPr>
            <w:tcW w:type="dxa" w:w="2225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서대문구</w:t>
            </w:r>
          </w:p>
        </w:tc>
        <w:tc>
          <w:tcPr>
            <w:tcW w:type="dxa" w:w="2225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107.73</w:t>
            </w:r>
          </w:p>
        </w:tc>
        <w:tc>
          <w:tcPr>
            <w:tcW w:type="dxa" w:w="2225"/>
            <w:vAlign w:val="center"/>
            <w:shd w:val="clear" w:color="auto" w:fill="FFF9C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106.98</w:t>
            </w:r>
          </w:p>
        </w:tc>
        <w:tc>
          <w:tcPr>
            <w:tcW w:type="dxa" w:w="2225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+0.75</w:t>
            </w:r>
          </w:p>
        </w:tc>
      </w:tr>
      <w:tr>
        <w:tc>
          <w:tcPr>
            <w:tcW w:type="dxa" w:w="2225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서초구</w:t>
            </w:r>
          </w:p>
        </w:tc>
        <w:tc>
          <w:tcPr>
            <w:tcW w:type="dxa" w:w="2225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101.73</w:t>
            </w:r>
          </w:p>
        </w:tc>
        <w:tc>
          <w:tcPr>
            <w:tcW w:type="dxa" w:w="2225"/>
            <w:vAlign w:val="center"/>
            <w:shd w:val="clear" w:color="auto" w:fill="FFF9C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101.84</w:t>
            </w:r>
          </w:p>
        </w:tc>
        <w:tc>
          <w:tcPr>
            <w:tcW w:type="dxa" w:w="2225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-0.11</w:t>
            </w:r>
          </w:p>
        </w:tc>
      </w:tr>
      <w:tr>
        <w:tc>
          <w:tcPr>
            <w:tcW w:type="dxa" w:w="2225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강남구</w:t>
            </w:r>
          </w:p>
        </w:tc>
        <w:tc>
          <w:tcPr>
            <w:tcW w:type="dxa" w:w="2225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99.32</w:t>
            </w:r>
          </w:p>
        </w:tc>
        <w:tc>
          <w:tcPr>
            <w:tcW w:type="dxa" w:w="2225"/>
            <w:vAlign w:val="center"/>
            <w:shd w:val="clear" w:color="auto" w:fill="FFF9C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100.04</w:t>
            </w:r>
          </w:p>
        </w:tc>
        <w:tc>
          <w:tcPr>
            <w:tcW w:type="dxa" w:w="2225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-0.72</w:t>
            </w:r>
          </w:p>
        </w:tc>
      </w:tr>
      <w:tr>
        <w:tc>
          <w:tcPr>
            <w:tcW w:type="dxa" w:w="2225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송파구</w:t>
            </w:r>
          </w:p>
        </w:tc>
        <w:tc>
          <w:tcPr>
            <w:tcW w:type="dxa" w:w="2225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103.19</w:t>
            </w:r>
          </w:p>
        </w:tc>
        <w:tc>
          <w:tcPr>
            <w:tcW w:type="dxa" w:w="2225"/>
            <w:vAlign w:val="center"/>
            <w:shd w:val="clear" w:color="auto" w:fill="FFF9C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103.20</w:t>
            </w:r>
          </w:p>
        </w:tc>
        <w:tc>
          <w:tcPr>
            <w:tcW w:type="dxa" w:w="2225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-0.00</w:t>
            </w:r>
          </w:p>
        </w:tc>
      </w:tr>
      <w:tr>
        <w:tc>
          <w:tcPr>
            <w:tcW w:type="dxa" w:w="2225"/>
            <w:vAlign w:val="center"/>
            <w:shd w:val="clear" w:color="auto" w:fill="E8EAF6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평균</w:t>
            </w:r>
          </w:p>
        </w:tc>
        <w:tc>
          <w:tcPr>
            <w:tcW w:type="dxa" w:w="2225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103.63</w:t>
            </w:r>
          </w:p>
        </w:tc>
        <w:tc>
          <w:tcPr>
            <w:tcW w:type="dxa" w:w="2225"/>
            <w:vAlign w:val="center"/>
            <w:shd w:val="clear" w:color="auto" w:fill="FFF9C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103.47</w:t>
            </w:r>
          </w:p>
        </w:tc>
        <w:tc>
          <w:tcPr>
            <w:tcW w:type="dxa" w:w="2225"/>
            <w:vAlign w:val="center"/>
            <w:shd w:val="clear" w:color="auto" w:fill="E8EAF6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+0.16</w:t>
            </w:r>
          </w:p>
        </w:tc>
      </w:tr>
    </w:tbl>
    <w:p>
      <w:pPr>
        <w:spacing w:after="80"/>
      </w:pP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두 모델 6구 평균: ARIMA 103.63 / GRU 103.47 — 방향 일치로 예측 신뢰성 상호 보강</w:t>
      </w:r>
    </w:p>
    <w:p>
      <w:r>
        <w:br w:type="page"/>
      </w:r>
    </w:p>
    <w:p>
      <w:pPr>
        <w:pStyle w:val="Heading1"/>
        <w:spacing w:before="240" w:after="100"/>
        <w:jc w:val="left"/>
      </w:pPr>
      <w:r>
        <w:rPr>
          <w:rFonts w:ascii="맑은 고딕" w:hAnsi="맑은 고딕" w:eastAsia="맑은 고딕"/>
          <w:b/>
          <w:i w:val="0"/>
          <w:color w:val="003875"/>
          <w:sz w:val="28"/>
        </w:rPr>
        <w:t>5. 결론 및 제언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5.1 데이터 및 분석 결론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서울 아파트 주간 가격지수는 계절 주기성 없이 금리·정책 이벤트에 반응하는 시계열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COVID 급등기→금리인상 하락기→회복기 3국면이 모든 구에서 동시 출현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강남 3구가 외곽 3구보다 1주 앞서 방향 전환 — VAR-IRF로 통계 검증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충격 흡수 기간 약 6~8주 — 예측 모델 입력 길이(16주) 결정의 데이터 근거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5.2 모델 성능 결론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★ ARIMA(walk-forward): RMSE 0.294, DA 98.5% — 전 모델 최우수, 최종 채택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참고 NN GRU: RMSE 0.463, DA 87.1%, R² 0.975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ARIMA 채택 근거: RMSE 기준 전 모델 포함 최우수 — SimpleRNN·LSTM·GRU 대비 36~57% 낮은 오차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현 데이터 특성: 완만한 회복기(2025~2026) 기간으로 직전값 추종 전략에 유리한 환경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방법론: 차분 타겟 전략으로 훈련·테스트 분포 불일치 해소, MinMaxScaler는 훈련셋에만 적용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5.3 2026-05-25 예측 결과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채택 모델: ARIMA (RMSE 기준 전 모델 최우수)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노원구: 105.79  (GRU 참고: 105.20)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은평구: 104.02  (GRU 참고: 103.54)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서대문구: 107.73  (GRU 참고: 106.98)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서초구: 101.73  (GRU 참고: 101.84)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강남구: 99.32  (GRU 참고: 100.04)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송파구: 103.19  (GRU 참고: 103.20)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6구 평균: ARIMA 103.63 / GRU 103.47 — 두 모델 방향 일치로 예측 신뢰성 보강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5.4 한계 및 향후 제언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훈련 데이터 부족: 121개 시퀀스 — 동일 레짐(2021~) 기간 내 데이터 확장 시 성능 향상 기대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스케일러 범위 초과: 테스트 입력 일부가 훈련 구간 [0,1] 범위를 벗어남 — 훈련셋 기준 스케일링의 불가피한 결과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외부 변수 미포함: 금리·거래량·매수심리지수 등 추가 시 NN 차별화 여지 큼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장기 예측: 3주 초과 시 ARIMA 오차 급증 — NN의 구조적 패턴 유지 능력이 우위로 전환 예상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레짐 변화 대응: 금리 인상·정책 발표 등 급변 국면에서 ARIMA 즉시 성능 저하, NN은 상대적 강건성</w:t>
      </w:r>
    </w:p>
    <w:sectPr w:rsidR="00FC693F" w:rsidRPr="0006063C" w:rsidSect="00034616">
      <w:pgSz w:w="11906" w:h="16838"/>
      <w:pgMar w:top="1417" w:right="141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