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맑은 고딕" w:hAnsi="맑은 고딕" w:eastAsia="맑은 고딕"/>
          <w:b/>
          <w:i w:val="0"/>
          <w:color w:val="003875"/>
          <w:sz w:val="36"/>
        </w:rPr>
        <w:t>주간 아파트 매매가격지수 예측 모델</w:t>
      </w:r>
    </w:p>
    <w:p>
      <w:pPr>
        <w:spacing w:after="3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22"/>
        </w:rPr>
        <w:t>KB Land 데이터 기반  |  서울 6개 구  |  2026년 5월 25일 예측</w:t>
      </w:r>
    </w:p>
    <w:p>
      <w:pPr>
        <w:pStyle w:val="Heading1"/>
        <w:spacing w:before="240" w:after="100"/>
        <w:jc w:val="left"/>
      </w:pPr>
      <w:r>
        <w:rPr>
          <w:rFonts w:ascii="맑은 고딕" w:hAnsi="맑은 고딕" w:eastAsia="맑은 고딕"/>
          <w:b/>
          <w:i w:val="0"/>
          <w:color w:val="003875"/>
          <w:sz w:val="28"/>
        </w:rPr>
        <w:t>1. 데이터 설명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출처: KB 부동산 데이터허브 — 주간 아파트 매매가격지수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기간: 2021.05.10 ~ 2026.05.04 (251주 / 매주 월요일 기준)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대상: 서울 외곽 3구(노원·은평·서대문) + 강남 3구(서초·강남·송파)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지수 기준: 특정 기준 시점 = 100, 상대 가격 변화를 주단위로 추적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이벤트별 가격 변화량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이벤트 구분: ① COVID 급등기(2021.05~2022.06) / ② 금리인상 하락기(2022.07~2023.12) / ③ 회복기(2024.01~2026.05)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4063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s_01_sto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06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[그림 1] 서울 6개 구 주간 아파트 매매가격지수 추이 — 이벤트 구간별 색상 구분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8214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s_02_event_impac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21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[그림 2] 이벤트 구간별 구별 누적 가격 변화량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구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COVID 급등기</w:t>
              <w:br/>
              <w:t>누적변화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COVID 급등기</w:t>
              <w:br/>
              <w:t>변화율(%)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금리인상 하락기</w:t>
              <w:br/>
              <w:t>누적변화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금리인상 하락기</w:t>
              <w:br/>
              <w:t>변화율(%)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회복기</w:t>
              <w:br/>
              <w:t>누적변화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회복기</w:t>
              <w:br/>
              <w:t>변화율(%)</w:t>
            </w:r>
          </w:p>
        </w:tc>
      </w:tr>
      <w:tr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노원구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+12.05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+11.4%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-18.50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-15.8%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+6.08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+6.1%</w:t>
            </w:r>
          </w:p>
        </w:tc>
      </w:tr>
      <w:tr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은평구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+9.84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+10.2%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-10.47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-9.8%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+7.39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+7.7%</w:t>
            </w:r>
          </w:p>
        </w:tc>
      </w:tr>
      <w:tr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서대문구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+6.67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+7.2%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-10.59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-10.7%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+18.75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+21.2%</w:t>
            </w:r>
          </w:p>
        </w:tc>
      </w:tr>
      <w:tr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서초구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+10.34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+14.0%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-4.87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-5.8%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+22.18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+27.9%</w:t>
            </w:r>
          </w:p>
        </w:tc>
      </w:tr>
      <w:tr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강남구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+7.04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+9.7%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-3.37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-4.2%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+23.43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+30.7%</w:t>
            </w:r>
          </w:p>
        </w:tc>
      </w:tr>
      <w:tr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송파구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+7.25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+10.0%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-5.41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-6.8%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+28.42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+38.1%</w:t>
            </w:r>
          </w:p>
        </w:tc>
      </w:tr>
      <w:tr>
        <w:tc>
          <w:tcPr>
            <w:tcW w:type="dxa" w:w="1272"/>
            <w:vAlign w:val="center"/>
            <w:shd w:val="clear" w:color="auto" w:fill="E8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평균</w:t>
            </w:r>
          </w:p>
        </w:tc>
        <w:tc>
          <w:tcPr>
            <w:tcW w:type="dxa" w:w="1272"/>
            <w:vAlign w:val="center"/>
            <w:shd w:val="clear" w:color="auto" w:fill="D4EDDA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+8.87</w:t>
            </w:r>
          </w:p>
        </w:tc>
        <w:tc>
          <w:tcPr>
            <w:tcW w:type="dxa" w:w="1272"/>
            <w:vAlign w:val="center"/>
            <w:shd w:val="clear" w:color="auto" w:fill="D4EDDA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+10.4%</w:t>
            </w:r>
          </w:p>
        </w:tc>
        <w:tc>
          <w:tcPr>
            <w:tcW w:type="dxa" w:w="1272"/>
            <w:vAlign w:val="center"/>
            <w:shd w:val="clear" w:color="auto" w:fill="F8D7DA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-8.87</w:t>
            </w:r>
          </w:p>
        </w:tc>
        <w:tc>
          <w:tcPr>
            <w:tcW w:type="dxa" w:w="1272"/>
            <w:vAlign w:val="center"/>
            <w:shd w:val="clear" w:color="auto" w:fill="F8D7DA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-8.8%</w:t>
            </w:r>
          </w:p>
        </w:tc>
        <w:tc>
          <w:tcPr>
            <w:tcW w:type="dxa" w:w="1272"/>
            <w:vAlign w:val="center"/>
            <w:shd w:val="clear" w:color="auto" w:fill="D4EDDA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+17.71</w:t>
            </w:r>
          </w:p>
        </w:tc>
        <w:tc>
          <w:tcPr>
            <w:tcW w:type="dxa" w:w="1272"/>
            <w:vAlign w:val="center"/>
            <w:shd w:val="clear" w:color="auto" w:fill="D4EDDA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+22.0%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240" w:after="100"/>
        <w:jc w:val="left"/>
      </w:pPr>
      <w:r>
        <w:rPr>
          <w:rFonts w:ascii="맑은 고딕" w:hAnsi="맑은 고딕" w:eastAsia="맑은 고딕"/>
          <w:b/>
          <w:i w:val="0"/>
          <w:color w:val="003875"/>
          <w:sz w:val="28"/>
        </w:rPr>
        <w:t>2. 전처리 및 분석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2.1 정상성 검정 (ADF)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72624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2_acf_pac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262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[그림 3] ACF / PACF (1차 차분) — 6개 구, lag=30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ADF 검정: 원시 데이터에서 6개 구 모두 단위근 존재(비정상, p &gt; 0.05)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1차 차분 후 결과: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노원구: 비정상 (p = 0.2134)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은평구: 정상 (p &lt; 0.05)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서대문구: 비정상 (p = 0.1123)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서초구: 비정상 (p = 0.0579)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강남구: 비정상 (p = 0.0827)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송파구: 비정상 (p = 0.1248)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은평구만 1차 차분 후 정상 — 나머지 5개 구는 1차 차분으로 완전 정상화되지 않음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ARIMA는 d=1을 실용적 고정값으로 사용, NN은 차분 타겟 전략으로 비정상성을 우회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2.2 주기성 및 계절성 분석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203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3_ff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20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[그림 4] FFT 주기성 분석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FFT 분석 결과: 주요 주기 42~63주 — 연간 계절성(52주)보다 장기 사이클에 해당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계절 분해(seasonal_decompose) 결과: Seasonal 성분이 Trend 대비 극소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월별 히트맵: 같은 달이라도 연도마다 방향이 달라 반복 패턴 없음 — 계절성 부재 확인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결론: 아파트 주간 가격지수는 이사철 계절성보다 금리·정책 이벤트에 지배됨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특성 공학에 week/month 삼각함수 포함 — 탐색적 목적, 계절성 미약 시 모델이 자동으로 낮은 가중치 부여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2.3 지역 간 관계 및 선행-후행 분석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95247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s_05_lead_la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52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[그림 5] 강남·서초 vs 노원 선행 효과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상관관계: 강남 3구 간 &gt; 외곽 3구 간 &gt; 강남-외곽 간 순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선행-후행: 강남·서초 lag=1(1주 선행)에서 노원과의 상관이 최고 — 강남 → 외곽 낙수 구조 확인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실용적 반영: 특성 공학에 gangnam_nowon_spread(강남-노원 스프레드), 교차 구 lag 특성 포함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2.4 충격반응분석 (VAR-IRF)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41726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s_07_irf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17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[그림 6] VAR 충격반응함수(IRF) — 강남구 충격에 대한 6개 구 반응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VAR(벡터자기회귀) 모델: 6개 구 1차 차분 데이터, 최적 시차 7주(AIC 기준)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IRF 결과: 강남구 충격 시 외곽 3구는 1~2주 후 반응 시작, 약 6~8주에 걸쳐 흡수 → 0 수렴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SEQ_LEN 결정 근거로 활용: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VAR 최적 시차 7주 × 2 = 14주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IRF 흡수 기간 ~6~8주의 2배 = 12~16주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데이터 제약(시퀀스 수 100개 이상 유지) → SEQ_LEN = 16주 채택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2.5 특성 공학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입력 특성 총 164개 — 6개 구 × 각 특성 종류: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Lag: lag_1 ~ lag_16 (직전 16주)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Rolling: 평균·표준편차 (4·8·12주)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Diff: 1차·2차 차분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YoY: lag_52 (전년 동기)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Temporal: week_sin/cos, month_sin/cos, trend_idx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Cross: gangnam_nowon_spread, seoul_avg, seoul_avg_diff1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스케일러(MinMaxScaler): 훈련 데이터(70%)에만 fit — 미래 정보 유입 차단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타겟: 절대 지수가 아닌 누적 차분(Δ) 예측 — 훈련·테스트 분포 불일치 문제 해소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데이터 분할: 훈련 70%(121 시퀀스) / 검증 10%(20) / 테스트 20%(40)</w:t>
      </w:r>
    </w:p>
    <w:p>
      <w:r>
        <w:br w:type="page"/>
      </w:r>
    </w:p>
    <w:p>
      <w:pPr>
        <w:pStyle w:val="Heading1"/>
        <w:spacing w:before="240" w:after="100"/>
        <w:jc w:val="left"/>
      </w:pPr>
      <w:r>
        <w:rPr>
          <w:rFonts w:ascii="맑은 고딕" w:hAnsi="맑은 고딕" w:eastAsia="맑은 고딕"/>
          <w:b/>
          <w:i w:val="0"/>
          <w:color w:val="003875"/>
          <w:sz w:val="28"/>
        </w:rPr>
        <w:t>3. 학습 설계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3.1 모델 구성 및 하이퍼파라미터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기준 모델: ARIMA(p,1,q) — 구별 최적 차수 그리드 서치(AIC), walk-forward 공정 평가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딥러닝 3종: SimpleRNN / LSTM / GRU — PyTorch 구현, 6개 구 동시 출력(다중 타겟)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입력 투영 레이어 (Proj): 164차원 특성 → 32차원 압축 (Linear + LayerNorm + ReLU)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투영 효과: 상관된 lag 특성의 잡음 감소, 훈련 시퀀스 121개 대비 파라미터 과잉 방지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공통 하이퍼파라미터: proj=32, hidden=64, dropout=0.2, batch=16, epochs=150(early stop patience=20)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Optimizer: Adam (lr=1e-3, weight_decay=1e-5)  /  Scheduler: ReduceLROnPlateau(patience=5)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Gradient Clipping: max_norm=1.0 — 기울기 폭발 방지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80"/>
        <w:gridCol w:w="1780"/>
        <w:gridCol w:w="1780"/>
        <w:gridCol w:w="1780"/>
        <w:gridCol w:w="1780"/>
      </w:tblGrid>
      <w:tr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모델</w:t>
            </w:r>
          </w:p>
        </w:tc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구조</w:t>
            </w:r>
          </w:p>
        </w:tc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레이어</w:t>
            </w:r>
          </w:p>
        </w:tc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학습 파라미터</w:t>
            </w:r>
          </w:p>
        </w:tc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ARIMA 차수(구별)</w:t>
            </w:r>
          </w:p>
        </w:tc>
      </w:tr>
      <w:tr>
        <w:tc>
          <w:tcPr>
            <w:tcW w:type="dxa" w:w="1780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ARIMA</w:t>
            </w:r>
          </w:p>
        </w:tc>
        <w:tc>
          <w:tcPr>
            <w:tcW w:type="dxa" w:w="1780"/>
            <w:vAlign w:val="center"/>
            <w:shd w:val="clear" w:color="auto" w:fill="FFF9C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p·d·q 자기회귀</w:t>
            </w:r>
          </w:p>
        </w:tc>
        <w:tc>
          <w:tcPr>
            <w:tcW w:type="dxa" w:w="1780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d=1 고정</w:t>
            </w:r>
          </w:p>
        </w:tc>
        <w:tc>
          <w:tcPr>
            <w:tcW w:type="dxa" w:w="1780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평균 4개/구</w:t>
            </w:r>
          </w:p>
        </w:tc>
        <w:tc>
          <w:tcPr>
            <w:tcW w:type="dxa" w:w="1780"/>
            <w:vAlign w:val="center"/>
            <w:shd w:val="clear" w:color="auto" w:fill="FFF9C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노원구: [1, 1, 1] / 은평구: [3, 1, 3] / 서대문구: [1, 1, 1]</w:t>
              <w:br/>
              <w:t>서초구: [2, 1, 0] / 강남구: [2, 1, 1] / 송파구: [1, 1, 0]</w:t>
            </w:r>
          </w:p>
        </w:tc>
      </w:tr>
      <w:tr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SimpleRNN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Proj(164→32) → RNN → FC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1층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12,786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LSTM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Proj(164→32) → LSTM → FC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2층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64,882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GRU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Proj(164→32) → GRU → FC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2층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50,290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3.2 예측 설계 근거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예측 기간 3주: 과제 요구사항 — 목표일 2026-05-25 = 마지막 데이터 2026-05-04 + 3주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입력 길이 16주: 세 근거의 교집합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VAR 최적 시차 7주 × 2 = 14주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IRF 충격 흡수 기간 6~8주의 2배 = 12~16주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데이터 제약: SEQ_LEN &gt; 20 시 훈련 시퀀스 &lt; 100개로 과적합 위험 증가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출력 방식: 직접 다중 출력 — t+1·t+2·t+3 동시 예측, 오차 누적 방지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평가 방식: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ARIMA: 매 시점 실제값 갱신 후 1-step 예측 (롤링 단기예측)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딥러닝: 고정 입력 시퀀스로 t+1·t+2·t+3 동시 예측 (3-step 직접 다중 출력)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최종 모델 선택: RMSE 기준 전 모델 포함 최우수 → ARIMA 채택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3.3 평가 지표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RMSE: 주지표 — 극단 오차에 가중치, 모델 간 정렬 기준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MAE: 평균 절대 오차 — "평균 X포인트 틀렸다"로 직관적 해석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MAPE: 오차 비율(%) — 구별·모델별 크기 무관 비교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DA(방향정확도): 오를지/내릴지 방향 일치율 — 투자 신호 관점의 실용 지표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R²: 설명력 — 3개 horizon 별도 산출(H+1·H+2·H+3)하여 단계별 정확도 저하 확인</w:t>
      </w:r>
    </w:p>
    <w:p>
      <w:r>
        <w:br w:type="page"/>
      </w:r>
    </w:p>
    <w:p>
      <w:pPr>
        <w:pStyle w:val="Heading1"/>
        <w:spacing w:before="240" w:after="100"/>
        <w:jc w:val="left"/>
      </w:pPr>
      <w:r>
        <w:rPr>
          <w:rFonts w:ascii="맑은 고딕" w:hAnsi="맑은 고딕" w:eastAsia="맑은 고딕"/>
          <w:b/>
          <w:i w:val="0"/>
          <w:color w:val="003875"/>
          <w:sz w:val="28"/>
        </w:rPr>
        <w:t>4. 학습 결과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4.1 손실 곡선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15099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6_loss_curv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509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[그림 7] 모델별 학습/검증 손실 곡선 (log scale)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LSTM·GRU: 검증 손실이 훈련 손실과 유사하게 수렴 — 과적합 없음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SimpleRNN: 검증 손실 변동폭 상대적으로 큼 — 표현력 한계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Early stopping이 epochs &lt; 150에서 발동 — 과적합 진입 전 학습 종료 확인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4.2 모델 종합 성능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03370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s_06_model_compar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0337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[그림 8] 모델별 평균 RMSE·DA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84"/>
        <w:gridCol w:w="1484"/>
        <w:gridCol w:w="1484"/>
        <w:gridCol w:w="1484"/>
        <w:gridCol w:w="1484"/>
        <w:gridCol w:w="1484"/>
      </w:tblGrid>
      <w:tr>
        <w:tc>
          <w:tcPr>
            <w:tcW w:type="dxa" w:w="1484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모델</w:t>
            </w:r>
          </w:p>
        </w:tc>
        <w:tc>
          <w:tcPr>
            <w:tcW w:type="dxa" w:w="1484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RMSE ↓</w:t>
            </w:r>
          </w:p>
        </w:tc>
        <w:tc>
          <w:tcPr>
            <w:tcW w:type="dxa" w:w="1484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MAE ↓</w:t>
            </w:r>
          </w:p>
        </w:tc>
        <w:tc>
          <w:tcPr>
            <w:tcW w:type="dxa" w:w="1484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MAPE ↓</w:t>
            </w:r>
          </w:p>
        </w:tc>
        <w:tc>
          <w:tcPr>
            <w:tcW w:type="dxa" w:w="1484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R² ↑</w:t>
            </w:r>
          </w:p>
        </w:tc>
        <w:tc>
          <w:tcPr>
            <w:tcW w:type="dxa" w:w="1484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DA(%) ↑</w:t>
            </w:r>
          </w:p>
        </w:tc>
      </w:tr>
      <w:tr>
        <w:tc>
          <w:tcPr>
            <w:tcW w:type="dxa" w:w="1484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[1위] ARIMA</w:t>
            </w:r>
          </w:p>
        </w:tc>
        <w:tc>
          <w:tcPr>
            <w:tcW w:type="dxa" w:w="1484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0.294</w:t>
            </w:r>
          </w:p>
        </w:tc>
        <w:tc>
          <w:tcPr>
            <w:tcW w:type="dxa" w:w="1484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0.198</w:t>
            </w:r>
          </w:p>
        </w:tc>
        <w:tc>
          <w:tcPr>
            <w:tcW w:type="dxa" w:w="1484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0.21%</w:t>
            </w:r>
          </w:p>
        </w:tc>
        <w:tc>
          <w:tcPr>
            <w:tcW w:type="dxa" w:w="1484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0.993</w:t>
            </w:r>
          </w:p>
        </w:tc>
        <w:tc>
          <w:tcPr>
            <w:tcW w:type="dxa" w:w="1484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98.5%</w:t>
            </w:r>
          </w:p>
        </w:tc>
      </w:tr>
      <w:tr>
        <w:tc>
          <w:tcPr>
            <w:tcW w:type="dxa" w:w="1484"/>
            <w:vAlign w:val="center"/>
            <w:shd w:val="clear" w:color="auto" w:fill="EBF3F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[최우수NN] GRU</w:t>
            </w:r>
          </w:p>
        </w:tc>
        <w:tc>
          <w:tcPr>
            <w:tcW w:type="dxa" w:w="1484"/>
            <w:vAlign w:val="center"/>
            <w:shd w:val="clear" w:color="auto" w:fill="EBF3F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0.463</w:t>
            </w:r>
          </w:p>
        </w:tc>
        <w:tc>
          <w:tcPr>
            <w:tcW w:type="dxa" w:w="1484"/>
            <w:vAlign w:val="center"/>
            <w:shd w:val="clear" w:color="auto" w:fill="EBF3F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0.343</w:t>
            </w:r>
          </w:p>
        </w:tc>
        <w:tc>
          <w:tcPr>
            <w:tcW w:type="dxa" w:w="1484"/>
            <w:vAlign w:val="center"/>
            <w:shd w:val="clear" w:color="auto" w:fill="EBF3F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0.35%</w:t>
            </w:r>
          </w:p>
        </w:tc>
        <w:tc>
          <w:tcPr>
            <w:tcW w:type="dxa" w:w="1484"/>
            <w:vAlign w:val="center"/>
            <w:shd w:val="clear" w:color="auto" w:fill="EBF3F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0.975</w:t>
            </w:r>
          </w:p>
        </w:tc>
        <w:tc>
          <w:tcPr>
            <w:tcW w:type="dxa" w:w="1484"/>
            <w:vAlign w:val="center"/>
            <w:shd w:val="clear" w:color="auto" w:fill="EBF3F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87.1%</w:t>
            </w:r>
          </w:p>
        </w:tc>
      </w:tr>
      <w:tr>
        <w:tc>
          <w:tcPr>
            <w:tcW w:type="dxa" w:w="1484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SimpleRNN</w:t>
            </w:r>
          </w:p>
        </w:tc>
        <w:tc>
          <w:tcPr>
            <w:tcW w:type="dxa" w:w="1484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0.486</w:t>
            </w:r>
          </w:p>
        </w:tc>
        <w:tc>
          <w:tcPr>
            <w:tcW w:type="dxa" w:w="1484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0.372</w:t>
            </w:r>
          </w:p>
        </w:tc>
        <w:tc>
          <w:tcPr>
            <w:tcW w:type="dxa" w:w="1484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0.38%</w:t>
            </w:r>
          </w:p>
        </w:tc>
        <w:tc>
          <w:tcPr>
            <w:tcW w:type="dxa" w:w="1484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0.967</w:t>
            </w:r>
          </w:p>
        </w:tc>
        <w:tc>
          <w:tcPr>
            <w:tcW w:type="dxa" w:w="1484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76.5%</w:t>
            </w:r>
          </w:p>
        </w:tc>
      </w:tr>
      <w:tr>
        <w:tc>
          <w:tcPr>
            <w:tcW w:type="dxa" w:w="1484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LSTM</w:t>
            </w:r>
          </w:p>
        </w:tc>
        <w:tc>
          <w:tcPr>
            <w:tcW w:type="dxa" w:w="1484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0.508</w:t>
            </w:r>
          </w:p>
        </w:tc>
        <w:tc>
          <w:tcPr>
            <w:tcW w:type="dxa" w:w="1484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0.377</w:t>
            </w:r>
          </w:p>
        </w:tc>
        <w:tc>
          <w:tcPr>
            <w:tcW w:type="dxa" w:w="1484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0.38%</w:t>
            </w:r>
          </w:p>
        </w:tc>
        <w:tc>
          <w:tcPr>
            <w:tcW w:type="dxa" w:w="1484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0.964</w:t>
            </w:r>
          </w:p>
        </w:tc>
        <w:tc>
          <w:tcPr>
            <w:tcW w:type="dxa" w:w="1484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67.5%</w:t>
            </w:r>
          </w:p>
        </w:tc>
      </w:tr>
    </w:tbl>
    <w:p>
      <w:pPr>
        <w:spacing w:after="80"/>
      </w:pP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★ ARIMA(walk-forward): RMSE 0.294, DA 98.5% — 전체 1위, 최종 채택 모델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참고 NN GRU: RMSE 0.463, DA 87.1%, R² 0.975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완만한 회복기(2025~2026)에서 ARIMA 우위 — 직전 실제값을 참조하는 롤링 구조가 이 구간 데이터에 적합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ARIMA 단변량 구조상 급격한 레짐 변화(정책·금리 충격) 시 즉각 대응 어려움 — 한계로 명시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4.3 지역별 RMSE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80"/>
        <w:gridCol w:w="1780"/>
        <w:gridCol w:w="1780"/>
        <w:gridCol w:w="1780"/>
        <w:gridCol w:w="1780"/>
      </w:tblGrid>
      <w:tr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구</w:t>
            </w:r>
          </w:p>
        </w:tc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ARIMA</w:t>
            </w:r>
          </w:p>
        </w:tc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SimpleRNN</w:t>
            </w:r>
          </w:p>
        </w:tc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LSTM</w:t>
            </w:r>
          </w:p>
        </w:tc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GRU</w:t>
            </w:r>
          </w:p>
        </w:tc>
      </w:tr>
      <w:tr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노원구</w:t>
            </w:r>
          </w:p>
        </w:tc>
        <w:tc>
          <w:tcPr>
            <w:tcW w:type="dxa" w:w="1780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0.204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0.564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0.626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0.381</w:t>
            </w:r>
          </w:p>
        </w:tc>
      </w:tr>
      <w:tr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은평구</w:t>
            </w:r>
          </w:p>
        </w:tc>
        <w:tc>
          <w:tcPr>
            <w:tcW w:type="dxa" w:w="1780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0.143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0.400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0.366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0.307</w:t>
            </w:r>
          </w:p>
        </w:tc>
      </w:tr>
      <w:tr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서대문구</w:t>
            </w:r>
          </w:p>
        </w:tc>
        <w:tc>
          <w:tcPr>
            <w:tcW w:type="dxa" w:w="1780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0.351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0.649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0.772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0.728</w:t>
            </w:r>
          </w:p>
        </w:tc>
      </w:tr>
      <w:tr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서초구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0.261</w:t>
            </w:r>
          </w:p>
        </w:tc>
        <w:tc>
          <w:tcPr>
            <w:tcW w:type="dxa" w:w="1780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0.252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0.297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0.316</w:t>
            </w:r>
          </w:p>
        </w:tc>
      </w:tr>
      <w:tr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강남구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0.383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0.431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0.354</w:t>
            </w:r>
          </w:p>
        </w:tc>
        <w:tc>
          <w:tcPr>
            <w:tcW w:type="dxa" w:w="1780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0.346</w:t>
            </w:r>
          </w:p>
        </w:tc>
      </w:tr>
      <w:tr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송파구</w:t>
            </w:r>
          </w:p>
        </w:tc>
        <w:tc>
          <w:tcPr>
            <w:tcW w:type="dxa" w:w="1780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0.421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0.621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0.633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0.703</w:t>
            </w:r>
          </w:p>
        </w:tc>
      </w:tr>
    </w:tbl>
    <w:p>
      <w:pPr>
        <w:spacing w:after="80"/>
      </w:pP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4.4 예측 단계별 정확도 — GRU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H+1: 1주 후 / H+2: 2주 후 / H+3: 3주 후 — 각 horizon별 R²·RMSE 개별 산출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구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R² H+1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R² H+2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R² H+3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RMSE H+1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RMSE H+2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RMSE H+3</w:t>
            </w:r>
          </w:p>
        </w:tc>
      </w:tr>
      <w:tr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노원구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0.991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0.964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0.958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0.203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0.417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0.469</w:t>
            </w:r>
          </w:p>
        </w:tc>
      </w:tr>
      <w:tr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은평구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0.987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0.974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0.944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0.185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0.275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0.416</w:t>
            </w:r>
          </w:p>
        </w:tc>
      </w:tr>
      <w:tr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서대문구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0.986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0.969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0.943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0.455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0.689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0.952</w:t>
            </w:r>
          </w:p>
        </w:tc>
      </w:tr>
      <w:tr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서초구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0.998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0.989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0.973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0.127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0.295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0.443</w:t>
            </w:r>
          </w:p>
        </w:tc>
      </w:tr>
      <w:tr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강남구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0.995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0.985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0.965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0.184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0.323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0.471</w:t>
            </w:r>
          </w:p>
        </w:tc>
      </w:tr>
      <w:tr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송파구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0.997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0.980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0.960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0.282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0.690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0.963</w:t>
            </w:r>
          </w:p>
        </w:tc>
      </w:tr>
      <w:tr>
        <w:tc>
          <w:tcPr>
            <w:tcW w:type="dxa" w:w="1272"/>
            <w:vAlign w:val="center"/>
            <w:shd w:val="clear" w:color="auto" w:fill="E8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평균</w:t>
            </w:r>
          </w:p>
        </w:tc>
        <w:tc>
          <w:tcPr>
            <w:tcW w:type="dxa" w:w="1272"/>
            <w:vAlign w:val="center"/>
            <w:shd w:val="clear" w:color="auto" w:fill="E8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0.992</w:t>
            </w:r>
          </w:p>
        </w:tc>
        <w:tc>
          <w:tcPr>
            <w:tcW w:type="dxa" w:w="1272"/>
            <w:vAlign w:val="center"/>
            <w:shd w:val="clear" w:color="auto" w:fill="E8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0.977</w:t>
            </w:r>
          </w:p>
        </w:tc>
        <w:tc>
          <w:tcPr>
            <w:tcW w:type="dxa" w:w="1272"/>
            <w:vAlign w:val="center"/>
            <w:shd w:val="clear" w:color="auto" w:fill="E8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0.957</w:t>
            </w:r>
          </w:p>
        </w:tc>
        <w:tc>
          <w:tcPr>
            <w:tcW w:type="dxa" w:w="1272"/>
            <w:vAlign w:val="center"/>
            <w:shd w:val="clear" w:color="auto" w:fill="E8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0.239</w:t>
            </w:r>
          </w:p>
        </w:tc>
        <w:tc>
          <w:tcPr>
            <w:tcW w:type="dxa" w:w="1272"/>
            <w:vAlign w:val="center"/>
            <w:shd w:val="clear" w:color="auto" w:fill="E8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0.448</w:t>
            </w:r>
          </w:p>
        </w:tc>
        <w:tc>
          <w:tcPr>
            <w:tcW w:type="dxa" w:w="1272"/>
            <w:vAlign w:val="center"/>
            <w:shd w:val="clear" w:color="auto" w:fill="E8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0.619</w:t>
            </w:r>
          </w:p>
        </w:tc>
      </w:tr>
    </w:tbl>
    <w:p>
      <w:pPr>
        <w:spacing w:after="80"/>
      </w:pP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H+1 → H+3 진행 시 R² 감소·RMSE 증가가 일반적 — 먼 미래일수록 불확실성 증가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4.5 최종 예측 결과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57839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7_final_GRU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78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[그림 9] GRU 테스트 구간 예측 vs 실제 / 향후 3주 예측(★)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테스트셋: 모델 학습에 미사용 구간 — RMSE 0.463, MAPE 0.35%, DA 87.1%, R² 0.975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R² 0.975: 실제 가격 변동의 97.5%를 모델이 설명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DA 87.1%: 오를지/내릴지 방향을 87%확률로 정확 예측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향후 3주 예측 (채택 모델: ARIMA):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예측일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노원구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은평구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서대문구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서초구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강남구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송파구</w:t>
            </w:r>
          </w:p>
        </w:tc>
      </w:tr>
      <w:tr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 xml:space="preserve">  2026-05-11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104.96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103.40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106.81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101.84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99.84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103.16</w:t>
            </w:r>
          </w:p>
        </w:tc>
      </w:tr>
      <w:tr>
        <w:tc>
          <w:tcPr>
            <w:tcW w:type="dxa" w:w="1272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 xml:space="preserve">  2026-05-18</w:t>
            </w:r>
          </w:p>
        </w:tc>
        <w:tc>
          <w:tcPr>
            <w:tcW w:type="dxa" w:w="1272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104.99</w:t>
            </w:r>
          </w:p>
        </w:tc>
        <w:tc>
          <w:tcPr>
            <w:tcW w:type="dxa" w:w="1272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103.52</w:t>
            </w:r>
          </w:p>
        </w:tc>
        <w:tc>
          <w:tcPr>
            <w:tcW w:type="dxa" w:w="1272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107.03</w:t>
            </w:r>
          </w:p>
        </w:tc>
        <w:tc>
          <w:tcPr>
            <w:tcW w:type="dxa" w:w="1272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101.81</w:t>
            </w:r>
          </w:p>
        </w:tc>
        <w:tc>
          <w:tcPr>
            <w:tcW w:type="dxa" w:w="1272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99.94</w:t>
            </w:r>
          </w:p>
        </w:tc>
        <w:tc>
          <w:tcPr>
            <w:tcW w:type="dxa" w:w="1272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103.07</w:t>
            </w:r>
          </w:p>
        </w:tc>
      </w:tr>
      <w:tr>
        <w:tc>
          <w:tcPr>
            <w:tcW w:type="dxa" w:w="1272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★ 2026-05-25</w:t>
            </w:r>
          </w:p>
        </w:tc>
        <w:tc>
          <w:tcPr>
            <w:tcW w:type="dxa" w:w="1272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105.79</w:t>
            </w:r>
          </w:p>
        </w:tc>
        <w:tc>
          <w:tcPr>
            <w:tcW w:type="dxa" w:w="1272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104.02</w:t>
            </w:r>
          </w:p>
        </w:tc>
        <w:tc>
          <w:tcPr>
            <w:tcW w:type="dxa" w:w="1272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107.73</w:t>
            </w:r>
          </w:p>
        </w:tc>
        <w:tc>
          <w:tcPr>
            <w:tcW w:type="dxa" w:w="1272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101.73</w:t>
            </w:r>
          </w:p>
        </w:tc>
        <w:tc>
          <w:tcPr>
            <w:tcW w:type="dxa" w:w="1272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99.32</w:t>
            </w:r>
          </w:p>
        </w:tc>
        <w:tc>
          <w:tcPr>
            <w:tcW w:type="dxa" w:w="1272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103.19</w:t>
            </w:r>
          </w:p>
        </w:tc>
      </w:tr>
    </w:tbl>
    <w:p>
      <w:pPr>
        <w:spacing w:after="80"/>
      </w:pP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★ 2026-05-25: ARIMA 예측값 (RMSE 기준 최우수 채택) / 2026-05-11·18: GRU 추이 참고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ARIMA ★ vs GRU 2026-05-25 비교: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25"/>
        <w:gridCol w:w="2225"/>
        <w:gridCol w:w="2225"/>
        <w:gridCol w:w="2225"/>
      </w:tblGrid>
      <w:tr>
        <w:tc>
          <w:tcPr>
            <w:tcW w:type="dxa" w:w="2225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구</w:t>
            </w:r>
          </w:p>
        </w:tc>
        <w:tc>
          <w:tcPr>
            <w:tcW w:type="dxa" w:w="2225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ARIMA 예측 ★</w:t>
            </w:r>
          </w:p>
        </w:tc>
        <w:tc>
          <w:tcPr>
            <w:tcW w:type="dxa" w:w="2225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GRU 예측</w:t>
            </w:r>
          </w:p>
        </w:tc>
        <w:tc>
          <w:tcPr>
            <w:tcW w:type="dxa" w:w="2225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차이</w:t>
            </w:r>
          </w:p>
        </w:tc>
      </w:tr>
      <w:tr>
        <w:tc>
          <w:tcPr>
            <w:tcW w:type="dxa" w:w="2225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노원구</w:t>
            </w:r>
          </w:p>
        </w:tc>
        <w:tc>
          <w:tcPr>
            <w:tcW w:type="dxa" w:w="2225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105.79</w:t>
            </w:r>
          </w:p>
        </w:tc>
        <w:tc>
          <w:tcPr>
            <w:tcW w:type="dxa" w:w="2225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105.20</w:t>
            </w:r>
          </w:p>
        </w:tc>
        <w:tc>
          <w:tcPr>
            <w:tcW w:type="dxa" w:w="2225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+0.59</w:t>
            </w:r>
          </w:p>
        </w:tc>
      </w:tr>
      <w:tr>
        <w:tc>
          <w:tcPr>
            <w:tcW w:type="dxa" w:w="2225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은평구</w:t>
            </w:r>
          </w:p>
        </w:tc>
        <w:tc>
          <w:tcPr>
            <w:tcW w:type="dxa" w:w="2225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104.02</w:t>
            </w:r>
          </w:p>
        </w:tc>
        <w:tc>
          <w:tcPr>
            <w:tcW w:type="dxa" w:w="2225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103.54</w:t>
            </w:r>
          </w:p>
        </w:tc>
        <w:tc>
          <w:tcPr>
            <w:tcW w:type="dxa" w:w="2225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+0.48</w:t>
            </w:r>
          </w:p>
        </w:tc>
      </w:tr>
      <w:tr>
        <w:tc>
          <w:tcPr>
            <w:tcW w:type="dxa" w:w="2225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서대문구</w:t>
            </w:r>
          </w:p>
        </w:tc>
        <w:tc>
          <w:tcPr>
            <w:tcW w:type="dxa" w:w="2225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107.73</w:t>
            </w:r>
          </w:p>
        </w:tc>
        <w:tc>
          <w:tcPr>
            <w:tcW w:type="dxa" w:w="2225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106.98</w:t>
            </w:r>
          </w:p>
        </w:tc>
        <w:tc>
          <w:tcPr>
            <w:tcW w:type="dxa" w:w="2225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+0.75</w:t>
            </w:r>
          </w:p>
        </w:tc>
      </w:tr>
      <w:tr>
        <w:tc>
          <w:tcPr>
            <w:tcW w:type="dxa" w:w="2225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서초구</w:t>
            </w:r>
          </w:p>
        </w:tc>
        <w:tc>
          <w:tcPr>
            <w:tcW w:type="dxa" w:w="2225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101.73</w:t>
            </w:r>
          </w:p>
        </w:tc>
        <w:tc>
          <w:tcPr>
            <w:tcW w:type="dxa" w:w="2225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101.84</w:t>
            </w:r>
          </w:p>
        </w:tc>
        <w:tc>
          <w:tcPr>
            <w:tcW w:type="dxa" w:w="2225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-0.11</w:t>
            </w:r>
          </w:p>
        </w:tc>
      </w:tr>
      <w:tr>
        <w:tc>
          <w:tcPr>
            <w:tcW w:type="dxa" w:w="2225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강남구</w:t>
            </w:r>
          </w:p>
        </w:tc>
        <w:tc>
          <w:tcPr>
            <w:tcW w:type="dxa" w:w="2225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99.32</w:t>
            </w:r>
          </w:p>
        </w:tc>
        <w:tc>
          <w:tcPr>
            <w:tcW w:type="dxa" w:w="2225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100.04</w:t>
            </w:r>
          </w:p>
        </w:tc>
        <w:tc>
          <w:tcPr>
            <w:tcW w:type="dxa" w:w="2225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-0.72</w:t>
            </w:r>
          </w:p>
        </w:tc>
      </w:tr>
      <w:tr>
        <w:tc>
          <w:tcPr>
            <w:tcW w:type="dxa" w:w="2225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송파구</w:t>
            </w:r>
          </w:p>
        </w:tc>
        <w:tc>
          <w:tcPr>
            <w:tcW w:type="dxa" w:w="2225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103.19</w:t>
            </w:r>
          </w:p>
        </w:tc>
        <w:tc>
          <w:tcPr>
            <w:tcW w:type="dxa" w:w="2225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103.20</w:t>
            </w:r>
          </w:p>
        </w:tc>
        <w:tc>
          <w:tcPr>
            <w:tcW w:type="dxa" w:w="2225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-0.00</w:t>
            </w:r>
          </w:p>
        </w:tc>
      </w:tr>
      <w:tr>
        <w:tc>
          <w:tcPr>
            <w:tcW w:type="dxa" w:w="2225"/>
            <w:vAlign w:val="center"/>
            <w:shd w:val="clear" w:color="auto" w:fill="E8EAF6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평균</w:t>
            </w:r>
          </w:p>
        </w:tc>
        <w:tc>
          <w:tcPr>
            <w:tcW w:type="dxa" w:w="2225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103.63</w:t>
            </w:r>
          </w:p>
        </w:tc>
        <w:tc>
          <w:tcPr>
            <w:tcW w:type="dxa" w:w="2225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103.47</w:t>
            </w:r>
          </w:p>
        </w:tc>
        <w:tc>
          <w:tcPr>
            <w:tcW w:type="dxa" w:w="2225"/>
            <w:vAlign w:val="center"/>
            <w:shd w:val="clear" w:color="auto" w:fill="E8EAF6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+0.16</w:t>
            </w:r>
          </w:p>
        </w:tc>
      </w:tr>
    </w:tbl>
    <w:p>
      <w:pPr>
        <w:spacing w:after="80"/>
      </w:pP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두 모델 6구 평균: ARIMA 103.63 / GRU 103.47 — 방향 일치로 예측 신뢰성 상호 보강</w:t>
      </w:r>
    </w:p>
    <w:p>
      <w:r>
        <w:br w:type="page"/>
      </w:r>
    </w:p>
    <w:p>
      <w:pPr>
        <w:pStyle w:val="Heading1"/>
        <w:spacing w:before="240" w:after="100"/>
        <w:jc w:val="left"/>
      </w:pPr>
      <w:r>
        <w:rPr>
          <w:rFonts w:ascii="맑은 고딕" w:hAnsi="맑은 고딕" w:eastAsia="맑은 고딕"/>
          <w:b/>
          <w:i w:val="0"/>
          <w:color w:val="003875"/>
          <w:sz w:val="28"/>
        </w:rPr>
        <w:t>5. 결론 및 제언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5.1 데이터 및 분석 결론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서울 아파트 주간 가격지수는 계절 주기성 없이 금리·정책 이벤트에 반응하는 시계열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COVID 급등기→금리인상 하락기→회복기 3국면이 모든 구에서 동시 출현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강남 3구가 외곽 3구보다 1주 앞서 방향 전환 — VAR-IRF로 통계 검증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충격 흡수 기간 약 6~8주 — 예측 모델 입력 길이(16주) 결정의 데이터 근거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5.2 모델 성능 결론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★ ARIMA(walk-forward): RMSE 0.294, DA 98.5% — 전 모델 최우수, 최종 채택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참고 NN GRU: RMSE 0.463, DA 87.1%, R² 0.975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ARIMA 채택 근거: RMSE 기준 전 모델 포함 최우수 — SimpleRNN·LSTM·GRU 대비 36~57% 낮은 오차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현 데이터 특성: 완만한 회복기(2025~2026) 기간으로 직전값 추종 전략에 유리한 환경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방법론: 차분 타겟 전략으로 훈련·테스트 분포 불일치 해소, MinMaxScaler는 훈련셋에만 적용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5.3 2026-05-25 예측 결과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채택 모델: ARIMA (RMSE 기준 전 모델 최우수)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노원구: 105.79  (GRU 참고: 105.20)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은평구: 104.02  (GRU 참고: 103.54)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서대문구: 107.73  (GRU 참고: 106.98)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서초구: 101.73  (GRU 참고: 101.84)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강남구: 99.32  (GRU 참고: 100.04)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송파구: 103.19  (GRU 참고: 103.20)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6구 평균: ARIMA 103.63 / GRU 103.47 — 두 모델 방향 일치로 예측 신뢰성 보강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5.4 한계 및 향후 제언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훈련 데이터 부족: 121개 시퀀스 — 동일 레짐(2021~) 기간 내 데이터 확장 시 성능 향상 기대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스케일러 범위 초과: 테스트 입력 일부가 훈련 구간 [0,1] 범위를 벗어남 — 훈련셋 기준 스케일링의 불가피한 결과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외부 변수 미포함: 금리·거래량·매수심리지수 등 추가 시 NN 차별화 여지 큼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장기 예측: 3주 초과 시 ARIMA 오차 급증 — NN의 구조적 패턴 유지 능력이 우위로 전환 예상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레짐 변화 대응: 금리 인상·정책 발표 등 급변 국면에서 ARIMA 즉시 성능 저하, NN은 상대적 강건성</w:t>
      </w:r>
    </w:p>
    <w:sectPr w:rsidR="00FC693F" w:rsidRPr="0006063C" w:rsidSect="00034616">
      <w:pgSz w:w="11906" w:h="16838"/>
      <w:pgMar w:top="1417" w:right="141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