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 w:eastAsia="맑은 고딕"/>
          <w:b/>
          <w:i w:val="0"/>
          <w:color w:val="003875"/>
          <w:sz w:val="36"/>
        </w:rPr>
        <w:t>주간 아파트 매매가격지수 예측 모델</w:t>
      </w:r>
    </w:p>
    <w:p>
      <w:pPr>
        <w:spacing w:after="3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22"/>
        </w:rPr>
        <w:t>KB Land 데이터 기반  |  서울 6개 구  |  2026년 5월 25일 예측</w:t>
      </w:r>
    </w:p>
    <w:p>
      <w:pPr>
        <w:pStyle w:val="Heading1"/>
        <w:spacing w:before="240" w:after="100"/>
        <w:jc w:val="left"/>
      </w:pPr>
      <w:r>
        <w:rPr>
          <w:rFonts w:ascii="맑은 고딕" w:hAnsi="맑은 고딕" w:eastAsia="맑은 고딕"/>
          <w:b/>
          <w:i w:val="0"/>
          <w:color w:val="003875"/>
          <w:sz w:val="28"/>
        </w:rPr>
        <w:t>1. 데이터 설명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출처: KB 부동산 데이터허브 — 주간 아파트 매매가격지수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기간: 2021.05.10 ~ 2026.05.04 (251주 / 매주 월요일 기준)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대상: 서울 외곽 3구(노원·은평·서대문) + 강남 3구(서초·강남·송파)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지수 기준: 특정 기준 시점 = 100, 상대 가격 변화를 주단위로 추적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이벤트별 가격 변화량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이벤트 구분: ① COVID 급등기(2021.05~2022.06) / ② 금리인상 하락기(2022.07~2023.12) / ③ 회복기(2024.01~2026.05)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_02_event_i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1] 이벤트 구간별 구별 누적 가격 변화량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COVID 급등기</w:t>
              <w:br/>
              <w:t>누적변화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COVID 급등기</w:t>
              <w:br/>
              <w:t>변화율(%)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금리인상 하락기</w:t>
              <w:br/>
              <w:t>누적변화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금리인상 하락기</w:t>
              <w:br/>
              <w:t>변화율(%)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회복기</w:t>
              <w:br/>
              <w:t>누적변화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회복기</w:t>
              <w:br/>
              <w:t>변화율(%)</w:t>
            </w:r>
          </w:p>
        </w:tc>
      </w:tr>
      <w:tr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노원구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+12.05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+11.4%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-18.50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-15.8%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+6.08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+6.1%</w:t>
            </w:r>
          </w:p>
        </w:tc>
      </w:tr>
      <w:tr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은평구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+9.84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+10.2%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-10.47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-9.8%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+7.39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+7.7%</w:t>
            </w:r>
          </w:p>
        </w:tc>
      </w:tr>
      <w:tr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서대문구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+6.67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+7.2%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-10.59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-10.7%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+18.75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+21.2%</w:t>
            </w:r>
          </w:p>
        </w:tc>
      </w:tr>
      <w:tr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서초구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+10.34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+14.0%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-4.87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-5.8%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+22.18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+27.9%</w:t>
            </w:r>
          </w:p>
        </w:tc>
      </w:tr>
      <w:tr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강남구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+7.04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+9.7%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-3.37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-4.2%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+23.43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+30.7%</w:t>
            </w:r>
          </w:p>
        </w:tc>
      </w:tr>
      <w:tr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송파구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+7.25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+10.0%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-5.41</w:t>
            </w:r>
          </w:p>
        </w:tc>
        <w:tc>
          <w:tcPr>
            <w:tcW w:type="dxa" w:w="1272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-6.8%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+28.42</w:t>
            </w:r>
          </w:p>
        </w:tc>
        <w:tc>
          <w:tcPr>
            <w:tcW w:type="dxa" w:w="127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+38.1%</w:t>
            </w:r>
          </w:p>
        </w:tc>
      </w:tr>
      <w:tr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평균</w:t>
            </w:r>
          </w:p>
        </w:tc>
        <w:tc>
          <w:tcPr>
            <w:tcW w:type="dxa" w:w="1272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+8.87</w:t>
            </w:r>
          </w:p>
        </w:tc>
        <w:tc>
          <w:tcPr>
            <w:tcW w:type="dxa" w:w="1272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+10.4%</w:t>
            </w:r>
          </w:p>
        </w:tc>
        <w:tc>
          <w:tcPr>
            <w:tcW w:type="dxa" w:w="1272"/>
            <w:vAlign w:val="center"/>
            <w:shd w:val="clear" w:color="auto" w:fill="F8D7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-8.87</w:t>
            </w:r>
          </w:p>
        </w:tc>
        <w:tc>
          <w:tcPr>
            <w:tcW w:type="dxa" w:w="1272"/>
            <w:vAlign w:val="center"/>
            <w:shd w:val="clear" w:color="auto" w:fill="F8D7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-8.8%</w:t>
            </w:r>
          </w:p>
        </w:tc>
        <w:tc>
          <w:tcPr>
            <w:tcW w:type="dxa" w:w="1272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+17.71</w:t>
            </w:r>
          </w:p>
        </w:tc>
        <w:tc>
          <w:tcPr>
            <w:tcW w:type="dxa" w:w="1272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+22.0%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40" w:after="100"/>
        <w:jc w:val="left"/>
      </w:pPr>
      <w:r>
        <w:rPr>
          <w:rFonts w:ascii="맑은 고딕" w:hAnsi="맑은 고딕" w:eastAsia="맑은 고딕"/>
          <w:b/>
          <w:i w:val="0"/>
          <w:color w:val="003875"/>
          <w:sz w:val="28"/>
        </w:rPr>
        <w:t>2. 전처리 및 분석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2.1 정상성 검정 (ADF)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7262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acf_pa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2] ACF / PACF (1차 차분) — 6개 구, lag=30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ADF 검정: 원시 데이터에서 6개 구 모두 단위근 존재(비정상, p &gt; 0.05)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1차 차분 후 결과: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노원구: 비정상 (p = 0.2134)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은평구: 정상 (p &lt; 0.05)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서대문구: 비정상 (p = 0.1123)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서초구: 비정상 (p = 0.0579)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강남구: 비정상 (p = 0.0827)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송파구: 비정상 (p = 0.1248)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은평구만 1차 차분 후 정상 — 나머지 5개 구는 1차 차분으로 완전 정상화되지 않음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ARIMA는 d=1을 실용적 고정값으로 사용, NN은 차분 타겟 전략으로 비정상성을 우회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2.2 주기성 및 계절성 분석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20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f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3] FFT 주기성 분석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FFT 분석 결과: 주요 주기 42~63주 — 연간 계절성(52주)보다 장기 사이클에 해당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계절 분해(seasonal_decompose) 결과: Seasonal 성분이 Trend 대비 극소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월별 히트맵: 같은 달이라도 연도마다 방향이 달라 반복 패턴 없음 — 계절성 부재 확인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결론: 아파트 주간 가격지수는 이사철 계절성보다 금리·정책 이벤트에 지배됨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특성 공학에 week/month 삼각함수 포함 — 탐색적 목적, 계절성 미약 시 모델이 자동으로 낮은 가중치 부여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2.3 지역 간 관계 및 선행-후행 분석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52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_05_lead_l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2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4] 강남·서초 vs 노원 선행 효과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상관관계: 강남 3구 간 &gt; 외곽 3구 간 &gt; 강남-외곽 간 순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선행-후행: 강남·서초 lag=1(1주 선행)에서 노원과의 상관이 최고 — 강남 → 외곽 낙수 구조 확인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실용적 반영: 특성 공학에 gangnam_nowon_spread(강남-노원 스프레드), 교차 구 lag 특성 포함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2.4 충격반응분석 (VAR-IRF)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17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_07_ir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5] VAR 충격반응함수(IRF) — 강남구 충격에 대한 6개 구 반응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VAR(벡터자기회귀) 모델: 6개 구 1차 차분 데이터, 최적 시차 7주(AIC 기준)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IRF 결과: 강남구 충격 시 외곽 3구는 1~2주 후 반응 시작, 약 6~8주에 걸쳐 흡수 → 0 수렴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SEQ_LEN 결정 근거로 활용: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VAR 최적 시차 7주 × 2 = 14주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IRF 흡수 기간 ~6~8주의 2배 = 12~16주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데이터 제약(시퀀스 수 100개 이상 유지) → SEQ_LEN = 16주 채택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2.5 특성 공학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입력 특성 총 164개 — 6개 구 × 각 특성 종류: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Lag: lag_1 ~ lag_16 (직전 16주)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Rolling: 평균·표준편차 (4·8·12주)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Diff: 1차·2차 차분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YoY: lag_52 (전년 동기)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Temporal: week_sin/cos, month_sin/cos, trend_idx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Cross: gangnam_nowon_spread, seoul_avg, seoul_avg_diff1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스케일러(MinMaxScaler): 훈련 데이터(70%)에만 fit — 미래 정보 유입 차단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타겟: 절대 지수가 아닌 누적 차분(Δ) 예측 — 훈련·테스트 분포 불일치 문제 해소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데이터 분할: 훈련 70%(121 시퀀스) / 검증 10%(20) / 테스트 20%(40)</w:t>
      </w:r>
    </w:p>
    <w:p>
      <w:r>
        <w:br w:type="page"/>
      </w:r>
    </w:p>
    <w:p>
      <w:pPr>
        <w:pStyle w:val="Heading1"/>
        <w:spacing w:before="240" w:after="100"/>
        <w:jc w:val="left"/>
      </w:pPr>
      <w:r>
        <w:rPr>
          <w:rFonts w:ascii="맑은 고딕" w:hAnsi="맑은 고딕" w:eastAsia="맑은 고딕"/>
          <w:b/>
          <w:i w:val="0"/>
          <w:color w:val="003875"/>
          <w:sz w:val="28"/>
        </w:rPr>
        <w:t>3. 학습 설계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3.1 모델 구성 및 하이퍼파라미터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기준 모델: ARIMA(p,1,q) — 구별 최적 차수 그리드 서치(AIC), walk-forward 공정 평가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딥러닝 3종: SimpleRNN / LSTM / GRU — PyTorch 구현, 6개 구 동시 출력(다중 타겟)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입력 투영 레이어 (Proj): 164차원 특성 → 32차원 압축 (Linear + LayerNorm + ReLU)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투영 효과: 상관된 lag 특성의 잡음 감소, 훈련 시퀀스 121개 대비 파라미터 과잉 방지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공통 하이퍼파라미터: proj=32, hidden=64, dropout=0.2, batch=16, epochs=150(early stop patience=20)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Optimizer: Adam (lr=1e-3, weight_decay=1e-5)  /  Scheduler: ReduceLROnPlateau(patience=5)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Gradient Clipping: max_norm=1.0 — 기울기 폭발 방지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모델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구조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레이어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학습 파라미터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ARIMA 차수(구별)</w:t>
            </w:r>
          </w:p>
        </w:tc>
      </w:tr>
      <w:tr>
        <w:tc>
          <w:tcPr>
            <w:tcW w:type="dxa" w:w="1780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ARIMA</w:t>
            </w:r>
          </w:p>
        </w:tc>
        <w:tc>
          <w:tcPr>
            <w:tcW w:type="dxa" w:w="1780"/>
            <w:vAlign w:val="center"/>
            <w:shd w:val="clear" w:color="auto" w:fill="FFF9C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p·d·q 자기회귀</w:t>
            </w:r>
          </w:p>
        </w:tc>
        <w:tc>
          <w:tcPr>
            <w:tcW w:type="dxa" w:w="1780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d=1 고정</w:t>
            </w:r>
          </w:p>
        </w:tc>
        <w:tc>
          <w:tcPr>
            <w:tcW w:type="dxa" w:w="1780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평균 4개/구</w:t>
            </w:r>
          </w:p>
        </w:tc>
        <w:tc>
          <w:tcPr>
            <w:tcW w:type="dxa" w:w="1780"/>
            <w:vAlign w:val="center"/>
            <w:shd w:val="clear" w:color="auto" w:fill="FFF9C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노원구: [1, 1, 1] / 은평구: [3, 1, 3] / 서대문구: [1, 1, 1]</w:t>
              <w:br/>
              <w:t>서초구: [2, 1, 0] / 강남구: [2, 1, 1] / 송파구: [1, 1, 0]</w:t>
            </w:r>
          </w:p>
        </w:tc>
      </w:tr>
      <w:tr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SimpleRNN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Proj(164→32) → RNN → FC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1층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12,786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LSTM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Proj(164→32) → LSTM → FC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2층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64,882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GRU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Proj(164→32) → GRU → FC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2층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50,290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3.2 예측 설계 근거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예측 기간 3주: 과제 요구사항 — 목표일 2026-05-25 = 마지막 데이터 2026-05-04 + 3주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입력 길이 16주: 세 근거의 교집합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VAR 최적 시차 7주 × 2 = 14주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IRF 충격 흡수 기간 6~8주의 2배 = 12~16주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데이터 제약: SEQ_LEN &gt; 20 시 훈련 시퀀스 &lt; 100개로 과적합 위험 증가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출력 방식: 직접 다중 출력 — t+1·t+2·t+3 동시 예측, 오차 누적 방지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평가 방식 구분: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ARIMA: 매 시점 실제값 갱신 후 1-step 예측 → 롤링 단기예측 (직전값 닻 효과)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딥러닝: 고정 입력 시퀀스로 t+1·t+2·t+3 동시 예측 → 3-step 직접 다중 출력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두 방식은 구조적으로 다름 — RMSE 직접 비교 시 이 차이를 감안해야 함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딥러닝 모델 선택 기준: 3-step RMSE 상위 후보 중 DA(방향정확도) 최대 모델 — 방향 신뢰성 우선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3.3 평가 지표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RMSE: 주지표 — 극단 오차에 가중치, 모델 간 정렬 기준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MAE: 평균 절대 오차 — "평균 X포인트 틀렸다"로 직관적 해석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MAPE: 오차 비율(%) — 구별·모델별 크기 무관 비교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DA(방향정확도): 오를지/내릴지 방향 일치율 — 투자 신호 관점의 실용 지표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R²: 설명력 — 3개 horizon 별도 산출(H+1·H+2·H+3)하여 단계별 정확도 저하 확인</w:t>
      </w:r>
    </w:p>
    <w:p>
      <w:r>
        <w:br w:type="page"/>
      </w:r>
    </w:p>
    <w:p>
      <w:pPr>
        <w:pStyle w:val="Heading1"/>
        <w:spacing w:before="240" w:after="100"/>
        <w:jc w:val="left"/>
      </w:pPr>
      <w:r>
        <w:rPr>
          <w:rFonts w:ascii="맑은 고딕" w:hAnsi="맑은 고딕" w:eastAsia="맑은 고딕"/>
          <w:b/>
          <w:i w:val="0"/>
          <w:color w:val="003875"/>
          <w:sz w:val="28"/>
        </w:rPr>
        <w:t>4. 학습 결과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4.1 손실 곡선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099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loss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6] 모델별 학습/검증 손실 곡선 (log scale)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LSTM·GRU: 검증 손실이 훈련 손실과 유사하게 수렴 — 과적합 없음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SimpleRNN: 검증 손실 변동폭 상대적으로 큼 — 표현력 한계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Early stopping이 epochs &lt; 150에서 발동 — 과적합 진입 전 학습 종료 확인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4.2 모델 종합 성능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37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_06_model_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7] 모델별 평균 RMSE·DA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4"/>
        <w:gridCol w:w="1484"/>
        <w:gridCol w:w="1484"/>
        <w:gridCol w:w="1484"/>
        <w:gridCol w:w="1484"/>
        <w:gridCol w:w="1484"/>
      </w:tblGrid>
      <w:tr>
        <w:tc>
          <w:tcPr>
            <w:tcW w:type="dxa" w:w="148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모델</w:t>
            </w:r>
          </w:p>
        </w:tc>
        <w:tc>
          <w:tcPr>
            <w:tcW w:type="dxa" w:w="148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RMSE ↓</w:t>
            </w:r>
          </w:p>
        </w:tc>
        <w:tc>
          <w:tcPr>
            <w:tcW w:type="dxa" w:w="148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MAE ↓</w:t>
            </w:r>
          </w:p>
        </w:tc>
        <w:tc>
          <w:tcPr>
            <w:tcW w:type="dxa" w:w="148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MAPE ↓</w:t>
            </w:r>
          </w:p>
        </w:tc>
        <w:tc>
          <w:tcPr>
            <w:tcW w:type="dxa" w:w="148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R² ↑</w:t>
            </w:r>
          </w:p>
        </w:tc>
        <w:tc>
          <w:tcPr>
            <w:tcW w:type="dxa" w:w="148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DA(%) ↑</w:t>
            </w:r>
          </w:p>
        </w:tc>
      </w:tr>
      <w:tr>
        <w:tc>
          <w:tcPr>
            <w:tcW w:type="dxa" w:w="1484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[1위] ARIMA</w:t>
            </w:r>
          </w:p>
        </w:tc>
        <w:tc>
          <w:tcPr>
            <w:tcW w:type="dxa" w:w="1484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0.294</w:t>
            </w:r>
          </w:p>
        </w:tc>
        <w:tc>
          <w:tcPr>
            <w:tcW w:type="dxa" w:w="1484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0.198</w:t>
            </w:r>
          </w:p>
        </w:tc>
        <w:tc>
          <w:tcPr>
            <w:tcW w:type="dxa" w:w="1484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0.21%</w:t>
            </w:r>
          </w:p>
        </w:tc>
        <w:tc>
          <w:tcPr>
            <w:tcW w:type="dxa" w:w="1484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0.993</w:t>
            </w:r>
          </w:p>
        </w:tc>
        <w:tc>
          <w:tcPr>
            <w:tcW w:type="dxa" w:w="1484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98.5%</w:t>
            </w:r>
          </w:p>
        </w:tc>
      </w:tr>
      <w:tr>
        <w:tc>
          <w:tcPr>
            <w:tcW w:type="dxa" w:w="1484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[최우수NN] GRU</w:t>
            </w:r>
          </w:p>
        </w:tc>
        <w:tc>
          <w:tcPr>
            <w:tcW w:type="dxa" w:w="1484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0.463</w:t>
            </w:r>
          </w:p>
        </w:tc>
        <w:tc>
          <w:tcPr>
            <w:tcW w:type="dxa" w:w="1484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0.343</w:t>
            </w:r>
          </w:p>
        </w:tc>
        <w:tc>
          <w:tcPr>
            <w:tcW w:type="dxa" w:w="1484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0.35%</w:t>
            </w:r>
          </w:p>
        </w:tc>
        <w:tc>
          <w:tcPr>
            <w:tcW w:type="dxa" w:w="1484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0.975</w:t>
            </w:r>
          </w:p>
        </w:tc>
        <w:tc>
          <w:tcPr>
            <w:tcW w:type="dxa" w:w="1484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87.1%</w:t>
            </w:r>
          </w:p>
        </w:tc>
      </w:tr>
      <w:tr>
        <w:tc>
          <w:tcPr>
            <w:tcW w:type="dxa" w:w="14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SimpleRNN</w:t>
            </w:r>
          </w:p>
        </w:tc>
        <w:tc>
          <w:tcPr>
            <w:tcW w:type="dxa" w:w="14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0.486</w:t>
            </w:r>
          </w:p>
        </w:tc>
        <w:tc>
          <w:tcPr>
            <w:tcW w:type="dxa" w:w="14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0.372</w:t>
            </w:r>
          </w:p>
        </w:tc>
        <w:tc>
          <w:tcPr>
            <w:tcW w:type="dxa" w:w="14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0.38%</w:t>
            </w:r>
          </w:p>
        </w:tc>
        <w:tc>
          <w:tcPr>
            <w:tcW w:type="dxa" w:w="14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0.967</w:t>
            </w:r>
          </w:p>
        </w:tc>
        <w:tc>
          <w:tcPr>
            <w:tcW w:type="dxa" w:w="14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76.5%</w:t>
            </w:r>
          </w:p>
        </w:tc>
      </w:tr>
      <w:tr>
        <w:tc>
          <w:tcPr>
            <w:tcW w:type="dxa" w:w="1484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LSTM</w:t>
            </w:r>
          </w:p>
        </w:tc>
        <w:tc>
          <w:tcPr>
            <w:tcW w:type="dxa" w:w="1484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0.508</w:t>
            </w:r>
          </w:p>
        </w:tc>
        <w:tc>
          <w:tcPr>
            <w:tcW w:type="dxa" w:w="1484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0.377</w:t>
            </w:r>
          </w:p>
        </w:tc>
        <w:tc>
          <w:tcPr>
            <w:tcW w:type="dxa" w:w="1484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0.38%</w:t>
            </w:r>
          </w:p>
        </w:tc>
        <w:tc>
          <w:tcPr>
            <w:tcW w:type="dxa" w:w="1484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0.964</w:t>
            </w:r>
          </w:p>
        </w:tc>
        <w:tc>
          <w:tcPr>
            <w:tcW w:type="dxa" w:w="1484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67.5%</w:t>
            </w:r>
          </w:p>
        </w:tc>
      </w:tr>
    </w:tbl>
    <w:p>
      <w:pPr>
        <w:spacing w:after="80"/>
      </w:pP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ARIMA(walk-forward): RMSE 0.294, DA 98.5% — 전체 RMSE 1위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최우수 NN GRU: RMSE 0.463, DA 87.1%, R² 0.975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완만한 회복기(2025~2026) 데이터에서 ARIMA 우위는 random-walk에 가까운 시계열 특성 반영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ARIMA는 매 스텝 직전 실제값을 닻으로 예측하나, 레짐 변화 시 즉시 성능 저하</w:t>
      </w:r>
    </w:p>
    <w:p>
      <w:pPr>
        <w:spacing w:after="160"/>
        <w:ind w:left="227" w:right="227"/>
        <w:jc w:val="both"/>
        <w:shd w:val="clear" w:color="auto" w:fill="EBF3FB"/>
      </w:pPr>
      <w:r>
        <w:rPr>
          <w:rFonts w:ascii="맑은 고딕" w:hAnsi="맑은 고딕" w:eastAsia="맑은 고딕"/>
          <w:b/>
          <w:i w:val="0"/>
          <w:color w:val="0054A6"/>
          <w:sz w:val="22"/>
        </w:rPr>
        <w:t>[평가 방법 차이 주의]  ARIMA: 1-step 롤링 예측(매 시점 실제값 갱신) vs 딥러닝: 3-step 직접 다중 출력 — 구조가 달라 RMSE 단순 수치 비교는 불완전함  |  딥러닝 최우수 모델은 동일 조건(3-step) 내 비교로 선정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4.3 지역별 RMSE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ARIMA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SimpleRNN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LSTM</w:t>
            </w:r>
          </w:p>
        </w:tc>
        <w:tc>
          <w:tcPr>
            <w:tcW w:type="dxa" w:w="178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GRU</w:t>
            </w:r>
          </w:p>
        </w:tc>
      </w:tr>
      <w:tr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노원구</w:t>
            </w:r>
          </w:p>
        </w:tc>
        <w:tc>
          <w:tcPr>
            <w:tcW w:type="dxa" w:w="1780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0.204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0.564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0.626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0.381</w:t>
            </w:r>
          </w:p>
        </w:tc>
      </w:tr>
      <w:tr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은평구</w:t>
            </w:r>
          </w:p>
        </w:tc>
        <w:tc>
          <w:tcPr>
            <w:tcW w:type="dxa" w:w="1780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0.143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0.400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0.366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0.307</w:t>
            </w:r>
          </w:p>
        </w:tc>
      </w:tr>
      <w:tr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서대문구</w:t>
            </w:r>
          </w:p>
        </w:tc>
        <w:tc>
          <w:tcPr>
            <w:tcW w:type="dxa" w:w="1780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0.351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0.649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0.772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0.728</w:t>
            </w:r>
          </w:p>
        </w:tc>
      </w:tr>
      <w:tr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서초구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0.261</w:t>
            </w:r>
          </w:p>
        </w:tc>
        <w:tc>
          <w:tcPr>
            <w:tcW w:type="dxa" w:w="1780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0.252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0.297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0.316</w:t>
            </w:r>
          </w:p>
        </w:tc>
      </w:tr>
      <w:tr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강남구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0.383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0.431</w:t>
            </w:r>
          </w:p>
        </w:tc>
        <w:tc>
          <w:tcPr>
            <w:tcW w:type="dxa" w:w="1780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0.354</w:t>
            </w:r>
          </w:p>
        </w:tc>
        <w:tc>
          <w:tcPr>
            <w:tcW w:type="dxa" w:w="1780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0.346</w:t>
            </w:r>
          </w:p>
        </w:tc>
      </w:tr>
      <w:tr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송파구</w:t>
            </w:r>
          </w:p>
        </w:tc>
        <w:tc>
          <w:tcPr>
            <w:tcW w:type="dxa" w:w="1780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0.421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0.621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0.633</w:t>
            </w:r>
          </w:p>
        </w:tc>
        <w:tc>
          <w:tcPr>
            <w:tcW w:type="dxa" w:w="17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0.703</w:t>
            </w:r>
          </w:p>
        </w:tc>
      </w:tr>
    </w:tbl>
    <w:p>
      <w:pPr>
        <w:spacing w:after="80"/>
      </w:pP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4.4 예측 단계별 정확도 — GRU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H+1: 1주 후 / H+2: 2주 후 / H+3: 3주 후 — 각 horizon별 R²·RMSE 개별 산출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R² H+1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R² H+2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R² H+3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RMSE H+1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RMSE H+2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RMSE H+3</w:t>
            </w:r>
          </w:p>
        </w:tc>
      </w:tr>
      <w:tr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노원구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0.964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0.958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0.203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0.417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0.469</w:t>
            </w:r>
          </w:p>
        </w:tc>
      </w:tr>
      <w:tr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은평구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0.987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0.974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0.944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0.185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0.275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0.416</w:t>
            </w:r>
          </w:p>
        </w:tc>
      </w:tr>
      <w:tr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서대문구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0.986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0.969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0.943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0.455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0.689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0.952</w:t>
            </w:r>
          </w:p>
        </w:tc>
      </w:tr>
      <w:tr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서초구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0.998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0.989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0.973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0.127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0.295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0.443</w:t>
            </w:r>
          </w:p>
        </w:tc>
      </w:tr>
      <w:tr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강남구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0.995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0.985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0.965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0.184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0.323</w:t>
            </w:r>
          </w:p>
        </w:tc>
        <w:tc>
          <w:tcPr>
            <w:tcW w:type="dxa" w:w="1272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0.471</w:t>
            </w:r>
          </w:p>
        </w:tc>
      </w:tr>
      <w:tr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송파구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0.997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0.980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0.960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0.282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0.690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0.963</w:t>
            </w:r>
          </w:p>
        </w:tc>
      </w:tr>
      <w:tr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평균</w:t>
            </w:r>
          </w:p>
        </w:tc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0.992</w:t>
            </w:r>
          </w:p>
        </w:tc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0.977</w:t>
            </w:r>
          </w:p>
        </w:tc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0.957</w:t>
            </w:r>
          </w:p>
        </w:tc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0.239</w:t>
            </w:r>
          </w:p>
        </w:tc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0.448</w:t>
            </w:r>
          </w:p>
        </w:tc>
        <w:tc>
          <w:tcPr>
            <w:tcW w:type="dxa" w:w="1272"/>
            <w:vAlign w:val="center"/>
            <w:shd w:val="clear" w:color="auto" w:fill="E8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0.619</w:t>
            </w:r>
          </w:p>
        </w:tc>
      </w:tr>
    </w:tbl>
    <w:p>
      <w:pPr>
        <w:spacing w:after="80"/>
      </w:pP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H+1 → H+3 진행 시 R² 감소·RMSE 증가가 일반적 — 먼 미래일수록 불확실성 증가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4.5 최종 예측 결과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78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final_GR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8"/>
        </w:rPr>
        <w:t>[그림 8] GRU 테스트 구간 예측 vs 실제 / 향후 3주 예측(★)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테스트셋: 모델 학습에 미사용 구간 — RMSE 0.463, MAPE 0.35%, DA 87.1%, R² 0.975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R² 0.975: 실제 가격 변동의 97.5%를 모델이 설명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DA 87.1%: 오를지/내릴지 방향을 87%확률로 정확 예측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향후 3주 예측 (최우수 모델: GRU):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예측일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노원구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은평구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서대문구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서초구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강남구</w:t>
            </w:r>
          </w:p>
        </w:tc>
        <w:tc>
          <w:tcPr>
            <w:tcW w:type="dxa" w:w="127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송파구</w:t>
            </w:r>
          </w:p>
        </w:tc>
      </w:tr>
      <w:tr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2026-05-11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104.96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103.40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106.81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101.84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99.84</w:t>
            </w:r>
          </w:p>
        </w:tc>
        <w:tc>
          <w:tcPr>
            <w:tcW w:type="dxa" w:w="127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103.16</w:t>
            </w:r>
          </w:p>
        </w:tc>
      </w:tr>
      <w:tr>
        <w:tc>
          <w:tcPr>
            <w:tcW w:type="dxa" w:w="1272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2026-05-18</w:t>
            </w:r>
          </w:p>
        </w:tc>
        <w:tc>
          <w:tcPr>
            <w:tcW w:type="dxa" w:w="1272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104.99</w:t>
            </w:r>
          </w:p>
        </w:tc>
        <w:tc>
          <w:tcPr>
            <w:tcW w:type="dxa" w:w="1272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103.52</w:t>
            </w:r>
          </w:p>
        </w:tc>
        <w:tc>
          <w:tcPr>
            <w:tcW w:type="dxa" w:w="1272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107.03</w:t>
            </w:r>
          </w:p>
        </w:tc>
        <w:tc>
          <w:tcPr>
            <w:tcW w:type="dxa" w:w="1272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101.81</w:t>
            </w:r>
          </w:p>
        </w:tc>
        <w:tc>
          <w:tcPr>
            <w:tcW w:type="dxa" w:w="1272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99.94</w:t>
            </w:r>
          </w:p>
        </w:tc>
        <w:tc>
          <w:tcPr>
            <w:tcW w:type="dxa" w:w="1272"/>
            <w:vAlign w:val="center"/>
            <w:shd w:val="clear" w:color="auto" w:fill="F5F5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103.07</w:t>
            </w:r>
          </w:p>
        </w:tc>
      </w:tr>
      <w:tr>
        <w:tc>
          <w:tcPr>
            <w:tcW w:type="dxa" w:w="1272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★ 2026-05-25</w:t>
            </w:r>
          </w:p>
        </w:tc>
        <w:tc>
          <w:tcPr>
            <w:tcW w:type="dxa" w:w="1272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105.20</w:t>
            </w:r>
          </w:p>
        </w:tc>
        <w:tc>
          <w:tcPr>
            <w:tcW w:type="dxa" w:w="1272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103.54</w:t>
            </w:r>
          </w:p>
        </w:tc>
        <w:tc>
          <w:tcPr>
            <w:tcW w:type="dxa" w:w="1272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106.98</w:t>
            </w:r>
          </w:p>
        </w:tc>
        <w:tc>
          <w:tcPr>
            <w:tcW w:type="dxa" w:w="1272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101.84</w:t>
            </w:r>
          </w:p>
        </w:tc>
        <w:tc>
          <w:tcPr>
            <w:tcW w:type="dxa" w:w="1272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100.04</w:t>
            </w:r>
          </w:p>
        </w:tc>
        <w:tc>
          <w:tcPr>
            <w:tcW w:type="dxa" w:w="1272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103.20</w:t>
            </w:r>
          </w:p>
        </w:tc>
      </w:tr>
    </w:tbl>
    <w:p>
      <w:pPr>
        <w:spacing w:after="80"/>
      </w:pP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ARIMA vs GRU 2026-05-25 비교: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222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</w:t>
            </w:r>
          </w:p>
        </w:tc>
        <w:tc>
          <w:tcPr>
            <w:tcW w:type="dxa" w:w="222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ARIMA 예측</w:t>
            </w:r>
          </w:p>
        </w:tc>
        <w:tc>
          <w:tcPr>
            <w:tcW w:type="dxa" w:w="222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GRU 예측 ★</w:t>
            </w:r>
          </w:p>
        </w:tc>
        <w:tc>
          <w:tcPr>
            <w:tcW w:type="dxa" w:w="222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차이</w:t>
            </w:r>
          </w:p>
        </w:tc>
      </w:tr>
      <w:tr>
        <w:tc>
          <w:tcPr>
            <w:tcW w:type="dxa" w:w="2225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노원구</w:t>
            </w:r>
          </w:p>
        </w:tc>
        <w:tc>
          <w:tcPr>
            <w:tcW w:type="dxa" w:w="2225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105.79</w:t>
            </w:r>
          </w:p>
        </w:tc>
        <w:tc>
          <w:tcPr>
            <w:tcW w:type="dxa" w:w="2225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105.20</w:t>
            </w:r>
          </w:p>
        </w:tc>
        <w:tc>
          <w:tcPr>
            <w:tcW w:type="dxa" w:w="2225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-0.59</w:t>
            </w:r>
          </w:p>
        </w:tc>
      </w:tr>
      <w:tr>
        <w:tc>
          <w:tcPr>
            <w:tcW w:type="dxa" w:w="222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은평구</w:t>
            </w:r>
          </w:p>
        </w:tc>
        <w:tc>
          <w:tcPr>
            <w:tcW w:type="dxa" w:w="2225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104.02</w:t>
            </w:r>
          </w:p>
        </w:tc>
        <w:tc>
          <w:tcPr>
            <w:tcW w:type="dxa" w:w="2225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103.54</w:t>
            </w:r>
          </w:p>
        </w:tc>
        <w:tc>
          <w:tcPr>
            <w:tcW w:type="dxa" w:w="2225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-0.48</w:t>
            </w:r>
          </w:p>
        </w:tc>
      </w:tr>
      <w:tr>
        <w:tc>
          <w:tcPr>
            <w:tcW w:type="dxa" w:w="2225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서대문구</w:t>
            </w:r>
          </w:p>
        </w:tc>
        <w:tc>
          <w:tcPr>
            <w:tcW w:type="dxa" w:w="2225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107.73</w:t>
            </w:r>
          </w:p>
        </w:tc>
        <w:tc>
          <w:tcPr>
            <w:tcW w:type="dxa" w:w="2225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106.98</w:t>
            </w:r>
          </w:p>
        </w:tc>
        <w:tc>
          <w:tcPr>
            <w:tcW w:type="dxa" w:w="2225"/>
            <w:vAlign w:val="center"/>
            <w:shd w:val="clear" w:color="auto" w:fill="FFE8E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-0.75</w:t>
            </w:r>
          </w:p>
        </w:tc>
      </w:tr>
      <w:tr>
        <w:tc>
          <w:tcPr>
            <w:tcW w:type="dxa" w:w="222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서초구</w:t>
            </w:r>
          </w:p>
        </w:tc>
        <w:tc>
          <w:tcPr>
            <w:tcW w:type="dxa" w:w="2225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101.73</w:t>
            </w:r>
          </w:p>
        </w:tc>
        <w:tc>
          <w:tcPr>
            <w:tcW w:type="dxa" w:w="2225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101.84</w:t>
            </w:r>
          </w:p>
        </w:tc>
        <w:tc>
          <w:tcPr>
            <w:tcW w:type="dxa" w:w="2225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2225"/>
            <w:vAlign w:val="center"/>
            <w:shd w:val="clear" w:color="auto" w:fill="F0F4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강남구</w:t>
            </w:r>
          </w:p>
        </w:tc>
        <w:tc>
          <w:tcPr>
            <w:tcW w:type="dxa" w:w="2225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99.32</w:t>
            </w:r>
          </w:p>
        </w:tc>
        <w:tc>
          <w:tcPr>
            <w:tcW w:type="dxa" w:w="2225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100.04</w:t>
            </w:r>
          </w:p>
        </w:tc>
        <w:tc>
          <w:tcPr>
            <w:tcW w:type="dxa" w:w="2225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+0.72</w:t>
            </w:r>
          </w:p>
        </w:tc>
      </w:tr>
      <w:tr>
        <w:tc>
          <w:tcPr>
            <w:tcW w:type="dxa" w:w="222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송파구</w:t>
            </w:r>
          </w:p>
        </w:tc>
        <w:tc>
          <w:tcPr>
            <w:tcW w:type="dxa" w:w="2225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103.19</w:t>
            </w:r>
          </w:p>
        </w:tc>
        <w:tc>
          <w:tcPr>
            <w:tcW w:type="dxa" w:w="2225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103.20</w:t>
            </w:r>
          </w:p>
        </w:tc>
        <w:tc>
          <w:tcPr>
            <w:tcW w:type="dxa" w:w="2225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2225"/>
            <w:vAlign w:val="center"/>
            <w:shd w:val="clear" w:color="auto" w:fill="E8EAF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평균</w:t>
            </w:r>
          </w:p>
        </w:tc>
        <w:tc>
          <w:tcPr>
            <w:tcW w:type="dxa" w:w="2225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103.63</w:t>
            </w:r>
          </w:p>
        </w:tc>
        <w:tc>
          <w:tcPr>
            <w:tcW w:type="dxa" w:w="2225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103.47</w:t>
            </w:r>
          </w:p>
        </w:tc>
        <w:tc>
          <w:tcPr>
            <w:tcW w:type="dxa" w:w="2225"/>
            <w:vAlign w:val="center"/>
            <w:shd w:val="clear" w:color="auto" w:fill="E8EAF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-0.16</w:t>
            </w:r>
          </w:p>
        </w:tc>
      </w:tr>
    </w:tbl>
    <w:p>
      <w:pPr>
        <w:spacing w:after="80"/>
      </w:pP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두 모델 평균 차이: -0.16 — 방향 일치 여부가 예측 신뢰성의 핵심 기준</w:t>
      </w:r>
    </w:p>
    <w:p>
      <w:r>
        <w:br w:type="page"/>
      </w:r>
    </w:p>
    <w:p>
      <w:pPr>
        <w:pStyle w:val="Heading1"/>
        <w:spacing w:before="240" w:after="100"/>
        <w:jc w:val="left"/>
      </w:pPr>
      <w:r>
        <w:rPr>
          <w:rFonts w:ascii="맑은 고딕" w:hAnsi="맑은 고딕" w:eastAsia="맑은 고딕"/>
          <w:b/>
          <w:i w:val="0"/>
          <w:color w:val="003875"/>
          <w:sz w:val="28"/>
        </w:rPr>
        <w:t>5. 결론 및 제언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5.1 데이터 및 분석 결론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서울 아파트 주간 가격지수는 계절 주기성 없이 금리·정책 이벤트에 반응하는 시계열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COVID 급등기→금리인상 하락기→회복기 3국면이 모든 구에서 동시 출현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강남 3구가 외곽 3구보다 1주 앞서 방향 전환 — VAR-IRF로 통계 검증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충격 흡수 기간 약 6~8주 — 예측 모델 입력 길이(16주) 결정의 데이터 근거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5.2 모델 성능 결론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ARIMA(1-step walk-forward): RMSE 0.294, DA 98.5% — 수치상 1위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최우수 NN GRU(3-step direct): RMSE 0.463, DA 87.1%, R² 0.975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GRU를 최종 예측 모델로 선택한 이유: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ARIMA는 1-step 롤링(직전 실제값 참조)으로 단기 추종에 유리 — 3주 앞 예측에는 구조적 한계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딥러닝 3종 동일 조건(3-step direct) 비교 시 GRU가 RMSE·DA 복합 최우수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6개 구 지역 간 관계, 비선형 패턴 동시 학습 — 단변량 ARIMA 대비 구조적 강점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레짐 변화(급격한 정책·금리 변동) 시 ARIMA 즉시 성능 저하, NN 상대적 강건성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ARIMA 우위 배경: 완만한 회복기(2025~2026)에서 직전값 닻 전략이 random-walk에 최적화된 결과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방법론: 차분 타겟 전략으로 훈련·테스트 분포 불일치 해소, MinMaxScaler는 훈련셋에만 적용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5.3 2026-05-25 예측 결과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사용 모델: GRU (RMSE·DA 복합 기준 최우수 NN)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노원구: GRU 105.20  /  ARIMA 105.79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은평구: GRU 103.54  /  ARIMA 104.02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서대문구: GRU 106.98  /  ARIMA 107.73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서초구: GRU 101.84  /  ARIMA 101.73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강남구: GRU 100.04  /  ARIMA 99.32</w:t>
      </w:r>
    </w:p>
    <w:p>
      <w:pPr>
        <w:spacing w:after="40"/>
        <w:ind w:left="680" w:hanging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-  송파구: GRU 103.20  /  ARIMA 103.19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두 모델 6구 평균: GRU 103.47 / ARIMA 103.63 — 방향 일치로 신뢰성 상호 보강</w:t>
      </w:r>
    </w:p>
    <w:p>
      <w:pPr>
        <w:pStyle w:val="Heading2"/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1E64A0"/>
          <w:sz w:val="24"/>
        </w:rPr>
        <w:t>5.4 한계 및 향후 제언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훈련 데이터 부족: 121개 시퀀스 — 동일 레짐(2021~) 기간 내 데이터 확장 시 성능 향상 기대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스케일러 범위 초과: 테스트 입력 일부가 훈련 구간 [0,1] 범위를 벗어남 — 훈련셋 기준 스케일링의 불가피한 결과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외부 변수 미포함: 금리·거래량·매수심리지수 등 추가 시 NN 차별화 여지 큼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장기 예측: 3주 초과 시 ARIMA 오차 급증 — NN의 구조적 패턴 유지 능력이 우위로 전환 예상</w:t>
      </w:r>
    </w:p>
    <w:p>
      <w:pPr>
        <w:spacing w:after="40"/>
        <w:ind w:left="283" w:hanging="283"/>
      </w:pPr>
      <w:r>
        <w:rPr>
          <w:rFonts w:ascii="맑은 고딕" w:hAnsi="맑은 고딕" w:eastAsia="맑은 고딕"/>
          <w:b w:val="0"/>
          <w:i w:val="0"/>
          <w:sz w:val="22"/>
        </w:rPr>
        <w:t>·  레짐 변화 대응: 금리 인상·정책 발표 등 급변 국면에서 ARIMA 즉시 성능 저하, NN은 상대적 강건성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