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52"/>
        <w:jc w:val="center"/>
      </w:pPr>
      <w:r>
        <w:rPr>
          <w:rFonts w:ascii="맑은 고딕" w:hAnsi="맑은 고딕" w:eastAsia="맑은 고딕"/>
          <w:b/>
          <w:i w:val="0"/>
          <w:color w:val="003875"/>
          <w:sz w:val="30"/>
        </w:rPr>
        <w:t>주간 아파트 매매가격지수 예측 모델</w:t>
      </w:r>
    </w:p>
    <w:p>
      <w:pPr>
        <w:spacing w:before="0" w:after="80" w:lineRule="auto" w:line="252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KB Land 데이터 기반  |  서울 6개 구  |  2026년 5월 25일 예측</w:t>
      </w:r>
    </w:p>
    <w:p>
      <w:pPr>
        <w:pStyle w:val="Heading1"/>
        <w:spacing w:before="100" w:after="40" w:lineRule="auto" w:line="252"/>
        <w:jc w:val="left"/>
      </w:pPr>
      <w:r>
        <w:rPr>
          <w:rFonts w:ascii="맑은 고딕" w:hAnsi="맑은 고딕" w:eastAsia="맑은 고딕"/>
          <w:b/>
          <w:i w:val="0"/>
          <w:color w:val="003875"/>
          <w:sz w:val="22"/>
        </w:rPr>
        <w:t>1. 데이터 및 탐색 분석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1.1 데이터 개요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출처: KB 부동산 데이터허브 — 주간 아파트 매매가격지수, 2021-05-10 ~ 2026-05-04 (251주, 결측치 없음)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대상: 서울 6구 — 외곽 3구(노원·은평·서대문) + 강남 3구(서초·강남·송파) / 지수 기준 시점 = 100</w:t>
      </w:r>
    </w:p>
    <w:p>
      <w:pPr>
        <w:spacing w:before="40" w:after="0" w:lineRule="auto" w:line="252"/>
        <w:jc w:val="center"/>
      </w:pPr>
      <w:r>
        <w:drawing>
          <wp:inline xmlns:a="http://schemas.openxmlformats.org/drawingml/2006/main" xmlns:pic="http://schemas.openxmlformats.org/drawingml/2006/picture">
            <wp:extent cx="4572000" cy="1940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1_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40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52"/>
        <w:jc w:val="center"/>
      </w:pPr>
      <w:r>
        <w:rPr>
          <w:rFonts w:ascii="맑은 고딕" w:hAnsi="맑은 고딕" w:eastAsia="맑은 고딕"/>
          <w:b w:val="0"/>
          <w:i/>
          <w:color w:val="646464"/>
          <w:sz w:val="16"/>
        </w:rPr>
        <w:t>[그림 1] 서울 6개 구 주간 아파트 매매가격지수 추이 (2021~2026) — 국면별 색상 구분</w:t>
      </w:r>
    </w:p>
    <w:p>
      <w:pPr>
        <w:spacing w:before="0" w:after="4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3개 국면 구분 (탐색적 해석용, 모델 학습 변수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vAlign w:val="center"/>
            <w:shd w:val="clear" w:color="auto" w:fill="1F4E79"/>
            <w:tcMar>
              <w:top w:w="18" w:type="dxa"/>
              <w:left w:w="45" w:type="dxa"/>
              <w:bottom w:w="18" w:type="dxa"/>
              <w:right w:w="45" w:type="dxa"/>
            </w:tcMar>
            <w:tcW w:w="2041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구간</w:t>
            </w:r>
          </w:p>
        </w:tc>
        <w:tc>
          <w:tcPr>
            <w:tcW w:type="dxa" w:w="2579"/>
            <w:vAlign w:val="center"/>
            <w:shd w:val="clear" w:color="auto" w:fill="1F4E79"/>
            <w:tcMar>
              <w:top w:w="18" w:type="dxa"/>
              <w:left w:w="45" w:type="dxa"/>
              <w:bottom w:w="18" w:type="dxa"/>
              <w:right w:w="45" w:type="dxa"/>
            </w:tcMar>
            <w:tcW w:w="198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기간</w:t>
            </w:r>
          </w:p>
        </w:tc>
        <w:tc>
          <w:tcPr>
            <w:tcW w:type="dxa" w:w="2579"/>
            <w:vAlign w:val="center"/>
            <w:shd w:val="clear" w:color="auto" w:fill="1F4E79"/>
            <w:tcMar>
              <w:top w:w="18" w:type="dxa"/>
              <w:left w:w="45" w:type="dxa"/>
              <w:bottom w:w="18" w:type="dxa"/>
              <w:right w:w="45" w:type="dxa"/>
            </w:tcMar>
            <w:tcW w:w="2268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6구 평균 변화</w:t>
            </w:r>
          </w:p>
        </w:tc>
        <w:tc>
          <w:tcPr>
            <w:tcW w:type="dxa" w:w="2579"/>
            <w:vAlign w:val="center"/>
            <w:shd w:val="clear" w:color="auto" w:fill="1F4E79"/>
            <w:tcMar>
              <w:top w:w="18" w:type="dxa"/>
              <w:left w:w="45" w:type="dxa"/>
              <w:bottom w:w="18" w:type="dxa"/>
              <w:right w:w="45" w:type="dxa"/>
            </w:tcMar>
            <w:tcW w:w="4025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해석</w:t>
            </w:r>
          </w:p>
        </w:tc>
      </w:tr>
      <w:tr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204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COVID 이후 급등기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198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2021.05~2022.06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2268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+8.9p (+10.4%)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4025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전반적 상승</w:t>
            </w:r>
          </w:p>
        </w:tc>
      </w:tr>
      <w:tr>
        <w:tc>
          <w:tcPr>
            <w:tcW w:type="dxa" w:w="2579"/>
            <w:vAlign w:val="center"/>
            <w:shd w:val="clear" w:color="auto" w:fill="FFFFFF"/>
            <w:tcMar>
              <w:top w:w="18" w:type="dxa"/>
              <w:left w:w="45" w:type="dxa"/>
              <w:bottom w:w="18" w:type="dxa"/>
              <w:right w:w="45" w:type="dxa"/>
            </w:tcMar>
            <w:tcW w:w="204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금리인상 하락기</w:t>
            </w:r>
          </w:p>
        </w:tc>
        <w:tc>
          <w:tcPr>
            <w:tcW w:type="dxa" w:w="2579"/>
            <w:vAlign w:val="center"/>
            <w:shd w:val="clear" w:color="auto" w:fill="FFFFFF"/>
            <w:tcMar>
              <w:top w:w="18" w:type="dxa"/>
              <w:left w:w="45" w:type="dxa"/>
              <w:bottom w:w="18" w:type="dxa"/>
              <w:right w:w="45" w:type="dxa"/>
            </w:tcMar>
            <w:tcW w:w="198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2022.07~2023.12</w:t>
            </w:r>
          </w:p>
        </w:tc>
        <w:tc>
          <w:tcPr>
            <w:tcW w:type="dxa" w:w="2579"/>
            <w:vAlign w:val="center"/>
            <w:shd w:val="clear" w:color="auto" w:fill="FFFFFF"/>
            <w:tcMar>
              <w:top w:w="18" w:type="dxa"/>
              <w:left w:w="45" w:type="dxa"/>
              <w:bottom w:w="18" w:type="dxa"/>
              <w:right w:w="45" w:type="dxa"/>
            </w:tcMar>
            <w:tcW w:w="2268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-8.9p (-8.8%)</w:t>
            </w:r>
          </w:p>
        </w:tc>
        <w:tc>
          <w:tcPr>
            <w:tcW w:type="dxa" w:w="2579"/>
            <w:vAlign w:val="center"/>
            <w:shd w:val="clear" w:color="auto" w:fill="FFFFFF"/>
            <w:tcMar>
              <w:top w:w="18" w:type="dxa"/>
              <w:left w:w="45" w:type="dxa"/>
              <w:bottom w:w="18" w:type="dxa"/>
              <w:right w:w="45" w:type="dxa"/>
            </w:tcMar>
            <w:tcW w:w="4025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전반적 조정</w:t>
            </w:r>
          </w:p>
        </w:tc>
      </w:tr>
      <w:tr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204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회복기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198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2024.01~2026.05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2268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+17.7p (+22.0%)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18" w:type="dxa"/>
              <w:left w:w="45" w:type="dxa"/>
              <w:bottom w:w="18" w:type="dxa"/>
              <w:right w:w="45" w:type="dxa"/>
            </w:tcMar>
            <w:tcW w:w="4025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회복 강도 확대</w:t>
            </w:r>
          </w:p>
        </w:tc>
      </w:tr>
    </w:tbl>
    <w:p>
      <w:pPr>
        <w:spacing w:before="0" w:after="20" w:lineRule="auto" w:line="252"/>
      </w:pP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1.2 정상성 검정 및 주기성 분석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ADF 검정: 전 6구 원시 지수 비정상(단위근 존재); 1차 차분 후 은평구만 완전 정상화 → d=1 고정(ARIMA), 차분 타겟 전략(NN) 적용</w:t>
      </w:r>
    </w:p>
    <w:p>
      <w:pPr>
        <w:spacing w:before="40" w:after="0" w:lineRule="auto" w:line="252"/>
        <w:jc w:val="center"/>
      </w:pPr>
      <w:r>
        <w:drawing>
          <wp:inline xmlns:a="http://schemas.openxmlformats.org/drawingml/2006/main" xmlns:pic="http://schemas.openxmlformats.org/drawingml/2006/picture">
            <wp:extent cx="4389120" cy="2183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8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52"/>
        <w:jc w:val="center"/>
      </w:pPr>
      <w:r>
        <w:rPr>
          <w:rFonts w:ascii="맑은 고딕" w:hAnsi="맑은 고딕" w:eastAsia="맑은 고딕"/>
          <w:b w:val="0"/>
          <w:i/>
          <w:color w:val="646464"/>
          <w:sz w:val="16"/>
        </w:rPr>
        <w:t>[그림 2] FFT 주기성 분석 (트렌드 제거 후)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구별 주요 주기 약 42~63주 범위의 중기적 주기 관찰; 안정적 반복 계절성은 뚜렷하지 않음 — 거시적 국면 변화의 영향이 더 크게 나타난 것으로 해석됨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1.3 지역 간 관계 분석 (VAR-IRF)</w:t>
      </w:r>
    </w:p>
    <w:p>
      <w:pPr>
        <w:spacing w:before="40" w:after="0" w:lineRule="auto" w:line="252"/>
        <w:jc w:val="center"/>
      </w:pPr>
      <w:r>
        <w:drawing>
          <wp:inline xmlns:a="http://schemas.openxmlformats.org/drawingml/2006/main" xmlns:pic="http://schemas.openxmlformats.org/drawingml/2006/picture">
            <wp:extent cx="4389120" cy="1871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87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52"/>
        <w:jc w:val="center"/>
      </w:pPr>
      <w:r>
        <w:rPr>
          <w:rFonts w:ascii="맑은 고딕" w:hAnsi="맑은 고딕" w:eastAsia="맑은 고딕"/>
          <w:b w:val="0"/>
          <w:i/>
          <w:color w:val="646464"/>
          <w:sz w:val="16"/>
        </w:rPr>
        <w:t>[그림 3] VAR 충격반응함수 — 강남구 충격에 대한 6개 구 반응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강남구 충격 이후 외곽 3구가 1~2주 시차로 반응하는 패턴 관찰 — 보조적 근거; 외생 변수 미포함으로 인과 효과 직접 추정 아님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IRF 충격 흡수 기간 약 6~8주, VAR 최적 시차 7주(AIC) → SEQ_LEN=16주 결정의 보조 근거</w:t>
      </w:r>
    </w:p>
    <w:p>
      <w:pPr>
        <w:pStyle w:val="Heading1"/>
        <w:spacing w:before="100" w:after="40" w:lineRule="auto" w:line="252"/>
        <w:jc w:val="left"/>
      </w:pPr>
      <w:r>
        <w:rPr>
          <w:rFonts w:ascii="맑은 고딕" w:hAnsi="맑은 고딕" w:eastAsia="맑은 고딕"/>
          <w:b/>
          <w:i w:val="0"/>
          <w:color w:val="003875"/>
          <w:sz w:val="22"/>
        </w:rPr>
        <w:t>2. 모델 구성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2.1 ARIMA (기준 모델)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구별 단변량 ARIMA(p,1,q) — 훈련 데이터(70%)에서만 AIC 최소화 그리드 탐색 (p,q ∈ {0…3})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81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노원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은평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서대문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서초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강남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송파</w:t>
            </w:r>
          </w:p>
        </w:tc>
      </w:tr>
      <w:tr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40" w:type="dxa"/>
              <w:bottom w:w="15" w:type="dxa"/>
              <w:right w:w="40" w:type="dxa"/>
            </w:tcMar>
            <w:tcW w:w="1814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ARIMA(p,1,q)</w:t>
            </w:r>
          </w:p>
        </w:tc>
        <w:tc>
          <w:tcPr>
            <w:tcW w:type="dxa" w:w="1474"/>
            <w:vAlign w:val="center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(1,1,1)</w:t>
            </w:r>
          </w:p>
        </w:tc>
        <w:tc>
          <w:tcPr>
            <w:tcW w:type="dxa" w:w="1474"/>
            <w:vAlign w:val="center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(3,1,3)</w:t>
            </w:r>
          </w:p>
        </w:tc>
        <w:tc>
          <w:tcPr>
            <w:tcW w:type="dxa" w:w="1474"/>
            <w:vAlign w:val="center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(1,1,1)</w:t>
            </w:r>
          </w:p>
        </w:tc>
        <w:tc>
          <w:tcPr>
            <w:tcW w:type="dxa" w:w="1474"/>
            <w:vAlign w:val="center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(2,1,0)</w:t>
            </w:r>
          </w:p>
        </w:tc>
        <w:tc>
          <w:tcPr>
            <w:tcW w:type="dxa" w:w="1474"/>
            <w:vAlign w:val="center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(2,1,1)</w:t>
            </w:r>
          </w:p>
        </w:tc>
        <w:tc>
          <w:tcPr>
            <w:tcW w:type="dxa" w:w="1474"/>
            <w:vAlign w:val="center"/>
            <w:tcMar>
              <w:top w:w="15" w:type="dxa"/>
              <w:left w:w="40" w:type="dxa"/>
              <w:bottom w:w="15" w:type="dxa"/>
              <w:right w:w="40" w:type="dxa"/>
            </w:tcMar>
            <w:tcW w:w="1417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(1,1,0)</w:t>
            </w:r>
          </w:p>
        </w:tc>
      </w:tr>
    </w:tbl>
    <w:p>
      <w:pPr>
        <w:spacing w:before="0" w:after="20" w:lineRule="auto" w:line="252"/>
      </w:pP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평가: walk-forward rolling — 매 시점 전체 이력으로 3-step forecast 수행, H+3 값 사용; 스케일러 없음, 미래 정보 유입 없음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2.2 딥러닝 모델 (SimpleRNN / LSTM / GRU)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입력: SEQ_LEN=16주 × 164개 특성(lag·rolling·차분·YoY·교차구) → 32차원 투영(LayerNorm+ReLU); 출력: H+1·H+2·H+3 직접 예측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타겟: 누적 차분(Δ) 예측; 스케일러: MinMaxScaler(훈련 fit only); 분할: 훈련 70% / 검증 10% / 테스트 20%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공통 하이퍼파라미터: hidden=64, dropout=0.2, Adam(lr=1e-3), patience=20; 테스트 기간: 2025-05-05 ~ 2026-05-04</w:t>
      </w:r>
    </w:p>
    <w:p>
      <w:pPr>
        <w:pStyle w:val="Heading1"/>
        <w:spacing w:before="100" w:after="40" w:lineRule="auto" w:line="252"/>
        <w:jc w:val="left"/>
      </w:pPr>
      <w:r>
        <w:rPr>
          <w:rFonts w:ascii="맑은 고딕" w:hAnsi="맑은 고딕" w:eastAsia="맑은 고딕"/>
          <w:b/>
          <w:i w:val="0"/>
          <w:color w:val="003875"/>
          <w:sz w:val="22"/>
        </w:rPr>
        <w:t>3. H+3 평가 결과 및 최종 모델 선정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3.1 모델별 H+3 성능 비교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과제 목표(3주 후 예측)에 맞게 전 모델을 H+3 단독 성능으로 비교·선정 — 1-step 또는 전체 step 합산 RMSE와 구별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평가 기준: H+3(3주 후) 예측값 vs 실제값 — 전 모델 동일 기준; H+3 RMSE 주지표, MAE·DA 보조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DA: 테스트 구간 내 방향 일치율 — 예측 방향(상승/하락)이 실제와 일치한 비율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모델</w:t>
            </w:r>
          </w:p>
        </w:tc>
        <w:tc>
          <w:tcPr>
            <w:tcW w:type="dxa" w:w="2579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H+3 RMSE ↓</w:t>
            </w:r>
          </w:p>
        </w:tc>
        <w:tc>
          <w:tcPr>
            <w:tcW w:type="dxa" w:w="2579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H+3 MAE ↓</w:t>
            </w:r>
          </w:p>
        </w:tc>
        <w:tc>
          <w:tcPr>
            <w:tcW w:type="dxa" w:w="2579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H+3 DA(%) ↑</w:t>
            </w:r>
          </w:p>
        </w:tc>
      </w:tr>
      <w:tr>
        <w:tc>
          <w:tcPr>
            <w:tcW w:type="dxa" w:w="2579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★ ARIMA (채택)</w:t>
            </w:r>
          </w:p>
        </w:tc>
        <w:tc>
          <w:tcPr>
            <w:tcW w:type="dxa" w:w="2579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0.4092</w:t>
            </w:r>
          </w:p>
        </w:tc>
        <w:tc>
          <w:tcPr>
            <w:tcW w:type="dxa" w:w="2579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0.2984</w:t>
            </w:r>
          </w:p>
        </w:tc>
        <w:tc>
          <w:tcPr>
            <w:tcW w:type="dxa" w:w="2579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98.6%</w:t>
            </w:r>
          </w:p>
        </w:tc>
      </w:tr>
      <w:tr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SimpleRNN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0.5911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0.4664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82.5%</w:t>
            </w:r>
          </w:p>
        </w:tc>
      </w:tr>
      <w:tr>
        <w:tc>
          <w:tcPr>
            <w:tcW w:type="dxa" w:w="2579"/>
            <w:vAlign w:val="center"/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GRU</w:t>
            </w:r>
          </w:p>
        </w:tc>
        <w:tc>
          <w:tcPr>
            <w:tcW w:type="dxa" w:w="2579"/>
            <w:vAlign w:val="center"/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0.6190</w:t>
            </w:r>
          </w:p>
        </w:tc>
        <w:tc>
          <w:tcPr>
            <w:tcW w:type="dxa" w:w="2579"/>
            <w:vAlign w:val="center"/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0.4901</w:t>
            </w:r>
          </w:p>
        </w:tc>
        <w:tc>
          <w:tcPr>
            <w:tcW w:type="dxa" w:w="2579"/>
            <w:vAlign w:val="center"/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96.7%</w:t>
            </w:r>
          </w:p>
        </w:tc>
      </w:tr>
      <w:tr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LSTM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0.6952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0.5581</w:t>
            </w:r>
          </w:p>
        </w:tc>
        <w:tc>
          <w:tcPr>
            <w:tcW w:type="dxa" w:w="2579"/>
            <w:vAlign w:val="center"/>
            <w:shd w:val="clear" w:color="auto" w:fill="F5F5F5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66.2%</w:t>
            </w:r>
          </w:p>
        </w:tc>
      </w:tr>
    </w:tbl>
    <w:p>
      <w:pPr>
        <w:spacing w:before="0" w:after="20" w:lineRule="auto" w:line="252"/>
      </w:pPr>
    </w:p>
    <w:p>
      <w:pPr>
        <w:spacing w:before="40" w:after="40" w:lineRule="auto" w:line="252"/>
        <w:ind w:left="113" w:right="113"/>
        <w:shd w:val="clear" w:color="auto" w:fill="EBF3FB"/>
      </w:pPr>
      <w:r>
        <w:rPr>
          <w:rFonts w:ascii="맑은 고딕" w:hAnsi="맑은 고딕" w:eastAsia="맑은 고딕"/>
          <w:b/>
          <w:i w:val="0"/>
          <w:color w:val="0054A6"/>
          <w:sz w:val="18"/>
        </w:rPr>
        <w:t>최종 채택 모델: ARIMA — H+3 RMSE 0.4092으로 전 모델 최우수 / H+3 DA 98.6%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현재 데이터·H+3 평가 기준에서 ARIMA가 가장 낮은 3주 후 예측 오차; SimpleRNN 대비 RMSE 30.7%, LSTM 대비 41.1% 낮음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테스트 구간은 완만한 회복 흐름이 지속된 구간 — 직전 이력·단기 자기상관을 반영하는 ARIMA 구조가 H+3 예측에 유리하게 작동한 것으로 해석됨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NN 계열은 164개 특성을 사용했으나, 121개로 제한된 훈련 시퀀스로 복잡한 비선형 패턴을 안정적으로 학습하기 어려웠을 가능성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단, ARIMA가 항상 우수하다는 의미가 아니라 현재 데이터·H+3 단기 예측 조건에서 가장 안정적이었다는 해석에 한정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NN 3종 H+3 성능 비교: SimpleRNN(RMSE 0.5911 · DA 82.5%) · GRU(0.6190 · DA 96.7%) · LSTM(0.6952 · DA 66.2%) — SimpleRNN이 NN 3종 중 RMSE 최우수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GRU는 DA 96.7%로 방향 일치율은 높았으나, RMSE 기준에서는 SimpleRNN보다 오차가 커 최종 모델로 채택하지 않음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3.2 ARIMA 평가 방식 상세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walk-forward rolling — 매 시점 전체 이력으로 ARIMA 재적합, t+1·t+2·t+3 예측, H+3만 평가에 사용</w:t>
      </w:r>
    </w:p>
    <w:p>
      <w:pPr>
        <w:spacing w:before="0" w:after="4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주의: walk-forward 전체 step 합산 RMSE(0.294)와 H+3 단독 RMSE(0.409)는 다름 — 본 평가는 H+3 기준</w:t>
      </w:r>
    </w:p>
    <w:p>
      <w:pPr>
        <w:spacing w:before="0" w:after="4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구별 H+3 RMSE 세부: ARIMA는 6구 중 4구(노원·은평·서대문·송파)에서 최우수, 6구 평균 기준 전 모델 최우수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701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모델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노원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은평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서대문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서초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강남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6"/>
              </w:rPr>
              <w:t>송파</w:t>
            </w:r>
          </w:p>
        </w:tc>
      </w:tr>
      <w:tr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70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★ ARIMA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0.285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0.194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0.483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0.354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0.546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0.592</w:t>
            </w:r>
          </w:p>
        </w:tc>
      </w:tr>
      <w:tr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70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SimpleRNN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0.857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0.327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0.751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0.317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0.606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0.689</w:t>
            </w:r>
          </w:p>
        </w:tc>
      </w:tr>
      <w:tr>
        <w:tc>
          <w:tcPr>
            <w:tcW w:type="dxa" w:w="1474"/>
            <w:vAlign w:val="center"/>
            <w:shd w:val="clear" w:color="auto" w:fill="FFFFFF"/>
            <w:tcMar>
              <w:top w:w="15" w:type="dxa"/>
              <w:left w:w="38" w:type="dxa"/>
              <w:bottom w:w="15" w:type="dxa"/>
              <w:right w:w="38" w:type="dxa"/>
            </w:tcMar>
            <w:tcW w:w="170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LSTM</w:t>
            </w:r>
          </w:p>
        </w:tc>
        <w:tc>
          <w:tcPr>
            <w:tcW w:type="dxa" w:w="1474"/>
            <w:vAlign w:val="center"/>
            <w:shd w:val="clear" w:color="auto" w:fill="FFFFFF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0.899</w:t>
            </w:r>
          </w:p>
        </w:tc>
        <w:tc>
          <w:tcPr>
            <w:tcW w:type="dxa" w:w="1474"/>
            <w:vAlign w:val="center"/>
            <w:shd w:val="clear" w:color="auto" w:fill="FFFFFF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0.503</w:t>
            </w:r>
          </w:p>
        </w:tc>
        <w:tc>
          <w:tcPr>
            <w:tcW w:type="dxa" w:w="1474"/>
            <w:vAlign w:val="center"/>
            <w:shd w:val="clear" w:color="auto" w:fill="FFFFFF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1.042</w:t>
            </w:r>
          </w:p>
        </w:tc>
        <w:tc>
          <w:tcPr>
            <w:tcW w:type="dxa" w:w="1474"/>
            <w:vAlign w:val="center"/>
            <w:shd w:val="clear" w:color="auto" w:fill="FFFFFF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0.392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6"/>
              </w:rPr>
              <w:t>0.462</w:t>
            </w:r>
          </w:p>
        </w:tc>
        <w:tc>
          <w:tcPr>
            <w:tcW w:type="dxa" w:w="1474"/>
            <w:vAlign w:val="center"/>
            <w:shd w:val="clear" w:color="auto" w:fill="FFFFFF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0.872</w:t>
            </w:r>
          </w:p>
        </w:tc>
      </w:tr>
      <w:tr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701" w:type="dxa"/>
          </w:tcPr>
          <w:p>
            <w:pPr>
              <w:spacing w:before="0" w:after="0" w:lineRule="auto" w:line="252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GRU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0.469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0.416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0.952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0.443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0.471</w:t>
            </w:r>
          </w:p>
        </w:tc>
        <w:tc>
          <w:tcPr>
            <w:tcW w:type="dxa" w:w="1474"/>
            <w:vAlign w:val="center"/>
            <w:shd w:val="clear" w:color="auto" w:fill="F5F5F5"/>
            <w:tcMar>
              <w:top w:w="15" w:type="dxa"/>
              <w:left w:w="38" w:type="dxa"/>
              <w:bottom w:w="15" w:type="dxa"/>
              <w:right w:w="38" w:type="dxa"/>
            </w:tcMar>
            <w:tcW w:w="1434" w:type="dxa"/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0.963</w:t>
            </w:r>
          </w:p>
        </w:tc>
      </w:tr>
    </w:tbl>
    <w:p>
      <w:pPr>
        <w:spacing w:before="0" w:after="20" w:lineRule="auto" w:line="252"/>
      </w:pP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DA 기준: 은평·서대문·서초·송파 100%, 강남 97.96%, 노원 93.88% — 전 구에서 방향 예측 정확도 93% 이상</w:t>
      </w:r>
    </w:p>
    <w:p>
      <w:pPr>
        <w:pStyle w:val="Heading1"/>
        <w:spacing w:before="100" w:after="40" w:lineRule="auto" w:line="252"/>
        <w:jc w:val="left"/>
      </w:pPr>
      <w:r>
        <w:rPr>
          <w:rFonts w:ascii="맑은 고딕" w:hAnsi="맑은 고딕" w:eastAsia="맑은 고딕"/>
          <w:b/>
          <w:i w:val="0"/>
          <w:color w:val="003875"/>
          <w:sz w:val="22"/>
        </w:rPr>
        <w:t>4. 최종 예측 결과 (2026-05-25)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채택 모델: ARIMA — 전체 이력(251주)으로 3-step forecast 수행, H+3 값 사용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예측 목표일: 마지막 관측일 2026-05-04 기준 3주 후 = 2026-05-25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예측일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노원구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은평구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서대문구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서초구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강남구</w:t>
            </w:r>
          </w:p>
        </w:tc>
        <w:tc>
          <w:tcPr>
            <w:tcW w:type="dxa" w:w="1474"/>
            <w:vAlign w:val="center"/>
            <w:shd w:val="clear" w:color="auto" w:fill="1F4E7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송파구</w:t>
            </w:r>
          </w:p>
        </w:tc>
      </w:tr>
      <w:tr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★ 2026-05-25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105.79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104.02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107.73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101.73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99.32</w:t>
            </w:r>
          </w:p>
        </w:tc>
        <w:tc>
          <w:tcPr>
            <w:tcW w:type="dxa" w:w="1474"/>
            <w:vAlign w:val="center"/>
            <w:shd w:val="clear" w:color="auto" w:fill="C8E6C9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Rule="auto" w:line="252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103.19</w:t>
            </w:r>
          </w:p>
        </w:tc>
      </w:tr>
    </w:tbl>
    <w:p>
      <w:pPr>
        <w:spacing w:before="0" w:after="20" w:lineRule="auto" w:line="252"/>
      </w:pP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6구 평균 예측 지수: 103.63 — 테스트 후반 회복 흐름이 단기적으로 유지되는 형태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서대문구(107.73)·노원구(105.79)는 상대적으로 높은 예측 지수; 강남구(99.32)는 100 이하 수준 — 지역별 회복 속도 차이 반영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외부 충격은 직접 반영하지 않은 가격지수 기반 단기 예측으로, 최근 흐름이 단기적으로 이어지는 경우의 예측값으로 해석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회복기(2024.01~) 진입 이후 6구 모두 100 이상 또는 100 근방 유지 흐름의 연장선; 이 흐름이 단기적으로 지속된다는 가정에서 산출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강남구 99.32 — 회복기에도 기준점(100) 이하 예측 유지, 서초(101.73)·송파(103.19)와 구분되는 상대적 약세 패턴</w:t>
      </w:r>
    </w:p>
    <w:p>
      <w:pPr>
        <w:pStyle w:val="Heading2"/>
        <w:spacing w:before="60" w:after="20" w:lineRule="auto" w:line="252"/>
        <w:jc w:val="left"/>
      </w:pPr>
      <w:r>
        <w:rPr>
          <w:rFonts w:ascii="맑은 고딕" w:hAnsi="맑은 고딕" w:eastAsia="맑은 고딕"/>
          <w:b/>
          <w:i w:val="0"/>
          <w:color w:val="1E64A0"/>
          <w:sz w:val="20"/>
        </w:rPr>
        <w:t>4.1 비채택 모델 참고 (SimpleRNN)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SimpleRNN은 NN 계열 중 H+3 RMSE가 가장 낮았으나, 전체 모델 기준으로는 ARIMA보다 오차가 큼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일부 방향성은 유사했지만, 최종 예측값은 H+3 RMSE 기준 최우수인 ARIMA 결과만 사용</w:t>
      </w:r>
    </w:p>
    <w:p>
      <w:pPr>
        <w:pStyle w:val="Heading1"/>
        <w:spacing w:before="100" w:after="40" w:lineRule="auto" w:line="252"/>
        <w:jc w:val="left"/>
      </w:pPr>
      <w:r>
        <w:rPr>
          <w:rFonts w:ascii="맑은 고딕" w:hAnsi="맑은 고딕" w:eastAsia="맑은 고딕"/>
          <w:b/>
          <w:i w:val="0"/>
          <w:color w:val="003875"/>
          <w:sz w:val="22"/>
        </w:rPr>
        <w:t>5. 한계 및 제언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표본 수 제한: 251주(약 5년) — 레짐 변화를 충분히 학습하기 어려운 표본 규모; 데이터 누적에 따라 재검토 필요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외생 변수 미포함: 금리·거래량 등 추가 시 NN 계열의 성능 개선 가능성을 검토할 수 있음; 인과 효과 직접 추정 아님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3주 초과 예측: 장기 horizon에서는 추가 검증 필요 — NN 또는 외생 변수 도입 고려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단일 데이터소스 의존: KB 주간 지수 외 실거래가·공시가격·매물량 등 교차 데이터 미활용 — 보완 시 예측 안정성 개선 가능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예측 구간 미산출: 포인트 예측만 제공 — 불확실성 정량화는 bootstrapped ARIMA 또는 베이지안 접근을 통한 추후 과제</w:t>
      </w:r>
    </w:p>
    <w:p>
      <w:pPr>
        <w:spacing w:before="0" w:after="20" w:lineRule="auto" w:line="252"/>
        <w:ind w:left="159" w:hanging="159"/>
      </w:pPr>
      <w:r>
        <w:rPr>
          <w:rFonts w:ascii="맑은 고딕" w:hAnsi="맑은 고딕" w:eastAsia="맑은 고딕"/>
          <w:b w:val="0"/>
          <w:i w:val="0"/>
          <w:sz w:val="18"/>
        </w:rPr>
        <w:t>·  일반화 한계: 서울 6구 한정 분석 — 타 지역·타 부동산 유형(오피스텔·빌라 등)에 대한 직접 적용 부적절</w:t>
      </w:r>
    </w:p>
    <w:p>
      <w:pPr>
        <w:pStyle w:val="Heading1"/>
        <w:spacing w:before="100" w:after="40" w:lineRule="auto" w:line="252"/>
        <w:jc w:val="left"/>
      </w:pPr>
      <w:r>
        <w:rPr>
          <w:rFonts w:ascii="맑은 고딕" w:hAnsi="맑은 고딕" w:eastAsia="맑은 고딕"/>
          <w:b/>
          <w:i w:val="0"/>
          <w:color w:val="003875"/>
          <w:sz w:val="22"/>
        </w:rPr>
        <w:t>참고문헌</w:t>
      </w:r>
    </w:p>
    <w:p>
      <w:pPr>
        <w:spacing w:before="0" w:after="60" w:lineRule="auto" w:line="252"/>
        <w:ind w:left="397" w:hanging="397"/>
      </w:pPr>
      <w:r>
        <w:rPr>
          <w:rFonts w:ascii="맑은 고딕" w:hAnsi="맑은 고딕" w:eastAsia="맑은 고딕"/>
          <w:b w:val="0"/>
          <w:i w:val="0"/>
          <w:sz w:val="16"/>
        </w:rPr>
        <w:t>[1] Box, G. E. P., Jenkins, G. M., Reinsel, G. C., &amp; Ljung, G. M. (2015). Time Series Analysis: Forecasting and Control (5th ed.). Wiley.</w:t>
      </w:r>
    </w:p>
    <w:p>
      <w:pPr>
        <w:spacing w:before="0" w:after="60" w:lineRule="auto" w:line="252"/>
        <w:ind w:left="397" w:hanging="397"/>
      </w:pPr>
      <w:r>
        <w:rPr>
          <w:rFonts w:ascii="맑은 고딕" w:hAnsi="맑은 고딕" w:eastAsia="맑은 고딕"/>
          <w:b w:val="0"/>
          <w:i w:val="0"/>
          <w:sz w:val="16"/>
        </w:rPr>
        <w:t>[2] Hochreiter, S., &amp; Schmidhuber, J. (1997). Long Short-Term Memory. Neural Computation, 9(8), 1735–1780.</w:t>
      </w:r>
    </w:p>
    <w:p>
      <w:pPr>
        <w:spacing w:before="0" w:after="60" w:lineRule="auto" w:line="252"/>
        <w:ind w:left="397" w:hanging="397"/>
      </w:pPr>
      <w:r>
        <w:rPr>
          <w:rFonts w:ascii="맑은 고딕" w:hAnsi="맑은 고딕" w:eastAsia="맑은 고딕"/>
          <w:b w:val="0"/>
          <w:i w:val="0"/>
          <w:sz w:val="16"/>
        </w:rPr>
        <w:t>[3] Cho, K., van Merrienboer, B., Gulcehre, C., Bahdanau, D., Bougares, F., Schwenk, H., &amp; Bengio, Y. (2014). Learning Phrase Representations using RNN Encoder-Decoder for Statistical Machine Translation. EMNLP 2014.</w:t>
      </w:r>
    </w:p>
    <w:p>
      <w:pPr>
        <w:spacing w:before="0" w:after="60" w:lineRule="auto" w:line="252"/>
        <w:ind w:left="397" w:hanging="397"/>
      </w:pPr>
      <w:r>
        <w:rPr>
          <w:rFonts w:ascii="맑은 고딕" w:hAnsi="맑은 고딕" w:eastAsia="맑은 고딕"/>
          <w:b w:val="0"/>
          <w:i w:val="0"/>
          <w:sz w:val="16"/>
        </w:rPr>
        <w:t>[4] Hyndman, R. J., &amp; Athanasopoulos, G. (2021). Forecasting: Principles and Practice (3rd ed.). OTexts. https://otexts.com/fpp3/</w:t>
      </w:r>
    </w:p>
    <w:p>
      <w:pPr>
        <w:spacing w:before="0" w:after="60" w:lineRule="auto" w:line="252"/>
        <w:ind w:left="397" w:hanging="397"/>
      </w:pPr>
      <w:r>
        <w:rPr>
          <w:rFonts w:ascii="맑은 고딕" w:hAnsi="맑은 고딕" w:eastAsia="맑은 고딕"/>
          <w:b w:val="0"/>
          <w:i w:val="0"/>
          <w:sz w:val="16"/>
        </w:rPr>
        <w:t>[5] Sims, C. A. (1980). Macroeconomics and Reality. Econometrica, 48(1), 1–48.</w:t>
      </w:r>
    </w:p>
    <w:p>
      <w:pPr>
        <w:spacing w:before="0" w:after="60" w:lineRule="auto" w:line="252"/>
        <w:ind w:left="397" w:hanging="397"/>
      </w:pPr>
      <w:r>
        <w:rPr>
          <w:rFonts w:ascii="맑은 고딕" w:hAnsi="맑은 고딕" w:eastAsia="맑은 고딕"/>
          <w:b w:val="0"/>
          <w:i w:val="0"/>
          <w:sz w:val="16"/>
        </w:rPr>
        <w:t>[6] KB 부동산 데이터허브. (2026). 주간 아파트 매매가격지수. https://data.kbland.kr/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52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